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ABD4" w14:textId="675D3075" w:rsidR="000F3340" w:rsidRPr="000F3340" w:rsidRDefault="000F3340" w:rsidP="5625EA41">
      <w:pPr>
        <w:pStyle w:val="Heading1"/>
        <w:rPr>
          <w:rFonts w:cs="Arial"/>
          <w:color w:val="auto"/>
          <w:sz w:val="24"/>
          <w:szCs w:val="24"/>
        </w:rPr>
      </w:pPr>
      <w:r w:rsidRPr="5625EA41">
        <w:rPr>
          <w:rFonts w:cs="Arial"/>
          <w:color w:val="auto"/>
          <w:sz w:val="36"/>
          <w:szCs w:val="36"/>
        </w:rPr>
        <w:t>No-Cost Ductless Heat Pump</w:t>
      </w:r>
      <w:r w:rsidR="006023F6" w:rsidRPr="5625EA41">
        <w:rPr>
          <w:rFonts w:cs="Arial"/>
          <w:color w:val="auto"/>
          <w:sz w:val="36"/>
          <w:szCs w:val="36"/>
        </w:rPr>
        <w:t xml:space="preserve"> </w:t>
      </w:r>
      <w:r w:rsidR="00451BD7">
        <w:rPr>
          <w:rFonts w:cs="Arial"/>
          <w:color w:val="auto"/>
          <w:sz w:val="36"/>
          <w:szCs w:val="36"/>
        </w:rPr>
        <w:t>Summary</w:t>
      </w:r>
    </w:p>
    <w:p w14:paraId="56965093" w14:textId="77777777" w:rsidR="000F3340" w:rsidRPr="000F3340" w:rsidRDefault="000F3340" w:rsidP="000F3340">
      <w:pPr>
        <w:spacing w:after="0"/>
        <w:rPr>
          <w:rFonts w:ascii="Arial" w:eastAsia="Times New Roman" w:hAnsi="Arial" w:cs="Arial"/>
          <w:sz w:val="20"/>
          <w:szCs w:val="20"/>
        </w:rPr>
      </w:pPr>
    </w:p>
    <w:p w14:paraId="5F9DFB21" w14:textId="60519DFC" w:rsidR="000F3340" w:rsidRPr="005360C1" w:rsidRDefault="000F3340" w:rsidP="000F3340">
      <w:pPr>
        <w:spacing w:after="0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</w:rPr>
        <w:t xml:space="preserve">The No-Cost Ductless Heat Pump (DHP) offer is being developed at the direction of the Oregon Public Utility Commission (OPUC), with approval of a DHP cost-effectiveness measure exception through March 31, 2025, in a co-created program design process with Energy Trust and community </w:t>
      </w:r>
      <w:r w:rsidR="00BB5CB7" w:rsidRPr="005360C1">
        <w:rPr>
          <w:rFonts w:ascii="Arial" w:eastAsia="Times New Roman" w:hAnsi="Arial" w:cs="Arial"/>
          <w:sz w:val="19"/>
          <w:szCs w:val="19"/>
        </w:rPr>
        <w:t>partners.</w:t>
      </w:r>
    </w:p>
    <w:p w14:paraId="4AB81820" w14:textId="77777777" w:rsidR="000F3340" w:rsidRPr="005360C1" w:rsidRDefault="000F3340" w:rsidP="000F3340">
      <w:pPr>
        <w:spacing w:after="0"/>
        <w:rPr>
          <w:rFonts w:ascii="Arial" w:eastAsia="Times New Roman" w:hAnsi="Arial" w:cs="Arial"/>
          <w:sz w:val="19"/>
          <w:szCs w:val="19"/>
        </w:rPr>
      </w:pPr>
    </w:p>
    <w:p w14:paraId="306C4358" w14:textId="06482FEF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  <w:u w:val="single"/>
        </w:rPr>
        <w:t>Target Audience</w:t>
      </w:r>
      <w:r w:rsidRPr="005360C1">
        <w:rPr>
          <w:rFonts w:ascii="Arial" w:eastAsia="Times New Roman" w:hAnsi="Arial" w:cs="Arial"/>
          <w:sz w:val="19"/>
          <w:szCs w:val="19"/>
        </w:rPr>
        <w:t>: low</w:t>
      </w:r>
      <w:r w:rsidR="00BB5CB7" w:rsidRPr="005360C1">
        <w:rPr>
          <w:rFonts w:ascii="Arial" w:eastAsia="Times New Roman" w:hAnsi="Arial" w:cs="Arial"/>
          <w:sz w:val="19"/>
          <w:szCs w:val="19"/>
        </w:rPr>
        <w:t>er</w:t>
      </w:r>
      <w:r w:rsidRPr="005360C1">
        <w:rPr>
          <w:rFonts w:ascii="Arial" w:eastAsia="Times New Roman" w:hAnsi="Arial" w:cs="Arial"/>
          <w:sz w:val="19"/>
          <w:szCs w:val="19"/>
        </w:rPr>
        <w:t>-income customers in existing single family, manufactured homes, or small multifamily who are experiencing high energy burdens.</w:t>
      </w:r>
    </w:p>
    <w:p w14:paraId="446049BB" w14:textId="77777777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</w:p>
    <w:p w14:paraId="3CF95EB4" w14:textId="77777777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  <w:u w:val="single"/>
        </w:rPr>
        <w:t>Offering Basics</w:t>
      </w:r>
      <w:r w:rsidRPr="005360C1">
        <w:rPr>
          <w:rFonts w:ascii="Arial" w:eastAsia="Times New Roman" w:hAnsi="Arial" w:cs="Arial"/>
          <w:sz w:val="19"/>
          <w:szCs w:val="19"/>
        </w:rPr>
        <w:t xml:space="preserve">: a single head or double head DHP installation displacing electric resistance heat, at </w:t>
      </w:r>
      <w:r w:rsidRPr="005360C1">
        <w:rPr>
          <w:rFonts w:ascii="Arial" w:eastAsia="Times New Roman" w:hAnsi="Arial" w:cs="Arial"/>
          <w:b/>
          <w:bCs/>
          <w:sz w:val="19"/>
          <w:szCs w:val="19"/>
        </w:rPr>
        <w:t>no-cost to consumers</w:t>
      </w:r>
      <w:r w:rsidRPr="005360C1">
        <w:rPr>
          <w:rFonts w:ascii="Arial" w:eastAsia="Times New Roman" w:hAnsi="Arial" w:cs="Arial"/>
          <w:sz w:val="19"/>
          <w:szCs w:val="19"/>
        </w:rPr>
        <w:t>. Homes that use non-utility fuel paired with electric resistance may also be eligible.</w:t>
      </w:r>
    </w:p>
    <w:p w14:paraId="45B2FC14" w14:textId="77777777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</w:p>
    <w:p w14:paraId="7E7D5930" w14:textId="5C4CD9AE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  <w:u w:val="single"/>
        </w:rPr>
        <w:t>Cost Maximums</w:t>
      </w:r>
      <w:r w:rsidRPr="005360C1">
        <w:rPr>
          <w:rFonts w:ascii="Arial" w:eastAsia="Times New Roman" w:hAnsi="Arial" w:cs="Arial"/>
          <w:sz w:val="19"/>
          <w:szCs w:val="19"/>
        </w:rPr>
        <w:t xml:space="preserve">: Energy Trust encourages competitive pricing as much as possible. To be eligible for the No-Cost DHP, the total </w:t>
      </w:r>
      <w:r w:rsidR="000D277E" w:rsidRPr="005360C1">
        <w:rPr>
          <w:rFonts w:ascii="Arial" w:eastAsia="Times New Roman" w:hAnsi="Arial" w:cs="Arial"/>
          <w:sz w:val="19"/>
          <w:szCs w:val="19"/>
        </w:rPr>
        <w:t xml:space="preserve">DHP </w:t>
      </w:r>
      <w:r w:rsidRPr="005360C1">
        <w:rPr>
          <w:rFonts w:ascii="Arial" w:eastAsia="Times New Roman" w:hAnsi="Arial" w:cs="Arial"/>
          <w:sz w:val="19"/>
          <w:szCs w:val="19"/>
        </w:rPr>
        <w:t>project cost (including adders) must fall below:</w:t>
      </w:r>
    </w:p>
    <w:p w14:paraId="29D3830C" w14:textId="77777777" w:rsidR="000F3340" w:rsidRPr="005360C1" w:rsidRDefault="000F3340" w:rsidP="000F3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 xml:space="preserve">$4,800 for a 1:1 DHP </w:t>
      </w:r>
      <w:proofErr w:type="gramStart"/>
      <w:r w:rsidRPr="005360C1">
        <w:rPr>
          <w:rFonts w:eastAsia="Times New Roman" w:cs="Arial"/>
          <w:sz w:val="19"/>
          <w:szCs w:val="19"/>
        </w:rPr>
        <w:t>install</w:t>
      </w:r>
      <w:proofErr w:type="gramEnd"/>
    </w:p>
    <w:p w14:paraId="32571989" w14:textId="77777777" w:rsidR="000F3340" w:rsidRPr="005360C1" w:rsidRDefault="000F3340" w:rsidP="000F334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 xml:space="preserve">$7,200 for a 2:1 DHP </w:t>
      </w:r>
      <w:proofErr w:type="gramStart"/>
      <w:r w:rsidRPr="005360C1">
        <w:rPr>
          <w:rFonts w:eastAsia="Times New Roman" w:cs="Arial"/>
          <w:sz w:val="19"/>
          <w:szCs w:val="19"/>
        </w:rPr>
        <w:t>install</w:t>
      </w:r>
      <w:proofErr w:type="gramEnd"/>
    </w:p>
    <w:p w14:paraId="527B5CC2" w14:textId="37F04A36" w:rsidR="000F3340" w:rsidRPr="005360C1" w:rsidRDefault="632DEFC6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</w:rPr>
        <w:t>IF the project exceeds these cost maximums, the C</w:t>
      </w:r>
      <w:r w:rsidR="7093B216" w:rsidRPr="005360C1">
        <w:rPr>
          <w:rFonts w:ascii="Arial" w:eastAsia="Times New Roman" w:hAnsi="Arial" w:cs="Arial"/>
          <w:sz w:val="19"/>
          <w:szCs w:val="19"/>
        </w:rPr>
        <w:t>ommunity Partner</w:t>
      </w:r>
      <w:r w:rsidRPr="005360C1">
        <w:rPr>
          <w:rFonts w:ascii="Arial" w:eastAsia="Times New Roman" w:hAnsi="Arial" w:cs="Arial"/>
          <w:sz w:val="19"/>
          <w:szCs w:val="19"/>
        </w:rPr>
        <w:t xml:space="preserve"> may apply complimentary funding to cover the remaining costs. The customer </w:t>
      </w:r>
      <w:r w:rsidRPr="005360C1">
        <w:rPr>
          <w:rFonts w:ascii="Arial" w:eastAsia="Times New Roman" w:hAnsi="Arial" w:cs="Arial"/>
          <w:sz w:val="19"/>
          <w:szCs w:val="19"/>
          <w:u w:val="single"/>
        </w:rPr>
        <w:t>cannot cover</w:t>
      </w:r>
      <w:r w:rsidRPr="005360C1">
        <w:rPr>
          <w:rFonts w:ascii="Arial" w:eastAsia="Times New Roman" w:hAnsi="Arial" w:cs="Arial"/>
          <w:sz w:val="19"/>
          <w:szCs w:val="19"/>
        </w:rPr>
        <w:t xml:space="preserve"> </w:t>
      </w:r>
      <w:r w:rsidR="6D8B25F4" w:rsidRPr="005360C1">
        <w:rPr>
          <w:rFonts w:ascii="Arial" w:eastAsia="Times New Roman" w:hAnsi="Arial" w:cs="Arial"/>
          <w:sz w:val="19"/>
          <w:szCs w:val="19"/>
        </w:rPr>
        <w:t>the</w:t>
      </w:r>
      <w:r w:rsidRPr="005360C1">
        <w:rPr>
          <w:rFonts w:ascii="Arial" w:eastAsia="Times New Roman" w:hAnsi="Arial" w:cs="Arial"/>
          <w:sz w:val="19"/>
          <w:szCs w:val="19"/>
        </w:rPr>
        <w:t xml:space="preserve"> remaining costs.</w:t>
      </w:r>
    </w:p>
    <w:p w14:paraId="61A25CF6" w14:textId="77777777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</w:p>
    <w:p w14:paraId="7696A9C0" w14:textId="6A0DE104" w:rsidR="000F3340" w:rsidRPr="005360C1" w:rsidRDefault="000F3340" w:rsidP="000F3340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  <w:u w:val="single"/>
        </w:rPr>
        <w:t>Delivery</w:t>
      </w:r>
      <w:r w:rsidR="00083A16" w:rsidRPr="005360C1">
        <w:rPr>
          <w:rFonts w:ascii="Arial" w:eastAsia="Times New Roman" w:hAnsi="Arial" w:cs="Arial"/>
          <w:sz w:val="19"/>
          <w:szCs w:val="19"/>
          <w:u w:val="single"/>
        </w:rPr>
        <w:t xml:space="preserve"> Steps</w:t>
      </w:r>
      <w:r w:rsidRPr="005360C1">
        <w:rPr>
          <w:rFonts w:ascii="Arial" w:eastAsia="Times New Roman" w:hAnsi="Arial" w:cs="Arial"/>
          <w:sz w:val="19"/>
          <w:szCs w:val="19"/>
        </w:rPr>
        <w:t xml:space="preserve">: </w:t>
      </w:r>
    </w:p>
    <w:p w14:paraId="56458839" w14:textId="5D892E62" w:rsidR="00C145C2" w:rsidRPr="005360C1" w:rsidRDefault="00C145C2" w:rsidP="00C145C2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</w:rPr>
        <w:t xml:space="preserve">Note: </w:t>
      </w:r>
      <w:r w:rsidRPr="005360C1">
        <w:rPr>
          <w:rFonts w:ascii="Arial" w:eastAsia="Times New Roman" w:hAnsi="Arial" w:cs="Arial"/>
          <w:b/>
          <w:bCs/>
          <w:sz w:val="19"/>
          <w:szCs w:val="19"/>
        </w:rPr>
        <w:t>Do not</w:t>
      </w:r>
      <w:r w:rsidRPr="005360C1">
        <w:rPr>
          <w:rFonts w:ascii="Arial" w:eastAsia="Times New Roman" w:hAnsi="Arial" w:cs="Arial"/>
          <w:sz w:val="19"/>
          <w:szCs w:val="19"/>
        </w:rPr>
        <w:t xml:space="preserve"> initially promise your client a No-cost DHP. The CBO will follow the steps below to determine what level of Energy Trust incentive can be applied. </w:t>
      </w:r>
    </w:p>
    <w:p w14:paraId="0CFB28B5" w14:textId="0044AE39" w:rsidR="000F3340" w:rsidRPr="005360C1" w:rsidRDefault="00892B87" w:rsidP="000F334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  <w:u w:val="single"/>
        </w:rPr>
        <w:t>Home Energy Assessment</w:t>
      </w:r>
      <w:r w:rsidRPr="005360C1">
        <w:rPr>
          <w:rFonts w:eastAsia="Times New Roman" w:cs="Arial"/>
          <w:sz w:val="19"/>
          <w:szCs w:val="19"/>
        </w:rPr>
        <w:t>:</w:t>
      </w:r>
      <w:r w:rsidR="000B1DA8" w:rsidRPr="005360C1">
        <w:rPr>
          <w:rFonts w:eastAsia="Times New Roman" w:cs="Arial"/>
          <w:sz w:val="19"/>
          <w:szCs w:val="19"/>
        </w:rPr>
        <w:t xml:space="preserve"> </w:t>
      </w:r>
      <w:r w:rsidR="000F3340" w:rsidRPr="005360C1">
        <w:rPr>
          <w:rFonts w:eastAsia="Times New Roman" w:cs="Arial"/>
          <w:sz w:val="19"/>
          <w:szCs w:val="19"/>
        </w:rPr>
        <w:t xml:space="preserve">Via the CPF Program, CBO staff members visit client homes and perform home energy assessments. </w:t>
      </w:r>
    </w:p>
    <w:p w14:paraId="1A556845" w14:textId="399CCC89" w:rsidR="000F3340" w:rsidRPr="005360C1" w:rsidRDefault="000B1DA8" w:rsidP="000F334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  <w:u w:val="single"/>
        </w:rPr>
        <w:t>DHP</w:t>
      </w:r>
      <w:r w:rsidR="002206C4" w:rsidRPr="005360C1">
        <w:rPr>
          <w:rFonts w:eastAsia="Times New Roman" w:cs="Arial"/>
          <w:sz w:val="19"/>
          <w:szCs w:val="19"/>
          <w:u w:val="single"/>
        </w:rPr>
        <w:t xml:space="preserve"> Eligibility</w:t>
      </w:r>
      <w:r w:rsidR="002206C4" w:rsidRPr="005360C1">
        <w:rPr>
          <w:rFonts w:eastAsia="Times New Roman" w:cs="Arial"/>
          <w:sz w:val="19"/>
          <w:szCs w:val="19"/>
        </w:rPr>
        <w:t xml:space="preserve">: </w:t>
      </w:r>
      <w:r w:rsidR="000F3340" w:rsidRPr="005360C1">
        <w:rPr>
          <w:rFonts w:eastAsia="Times New Roman" w:cs="Arial"/>
          <w:sz w:val="19"/>
          <w:szCs w:val="19"/>
        </w:rPr>
        <w:t xml:space="preserve">If a client’s home is a good fit for a </w:t>
      </w:r>
      <w:r w:rsidR="002206C4" w:rsidRPr="005360C1">
        <w:rPr>
          <w:rFonts w:eastAsia="Times New Roman" w:cs="Arial"/>
          <w:sz w:val="19"/>
          <w:szCs w:val="19"/>
        </w:rPr>
        <w:t>DHP</w:t>
      </w:r>
      <w:r w:rsidR="000F3340" w:rsidRPr="005360C1">
        <w:rPr>
          <w:rFonts w:eastAsia="Times New Roman" w:cs="Arial"/>
          <w:sz w:val="19"/>
          <w:szCs w:val="19"/>
        </w:rPr>
        <w:t>, the CBO staff member will complete a DHP Questionnaire with the client to gather information on their income and how they navigate their energy bills.</w:t>
      </w:r>
    </w:p>
    <w:p w14:paraId="0FE069F5" w14:textId="7E0A844C" w:rsidR="235E654C" w:rsidRPr="005360C1" w:rsidRDefault="002206C4" w:rsidP="79855B73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  <w:u w:val="single"/>
        </w:rPr>
        <w:t>Income Veri</w:t>
      </w:r>
      <w:r w:rsidR="00F62BD7" w:rsidRPr="005360C1">
        <w:rPr>
          <w:rFonts w:eastAsia="Times New Roman" w:cs="Arial"/>
          <w:sz w:val="19"/>
          <w:szCs w:val="19"/>
          <w:u w:val="single"/>
        </w:rPr>
        <w:t>fication</w:t>
      </w:r>
      <w:r w:rsidR="00F62BD7" w:rsidRPr="005360C1">
        <w:rPr>
          <w:rFonts w:eastAsia="Times New Roman" w:cs="Arial"/>
          <w:sz w:val="19"/>
          <w:szCs w:val="19"/>
        </w:rPr>
        <w:t xml:space="preserve">: </w:t>
      </w:r>
      <w:r w:rsidR="235E654C" w:rsidRPr="005360C1">
        <w:rPr>
          <w:rFonts w:eastAsia="Times New Roman" w:cs="Arial"/>
          <w:sz w:val="19"/>
          <w:szCs w:val="19"/>
        </w:rPr>
        <w:t>If the client indicates their income is below 60% State Median Income</w:t>
      </w:r>
      <w:r w:rsidR="7028EB83" w:rsidRPr="005360C1">
        <w:rPr>
          <w:rFonts w:eastAsia="Times New Roman" w:cs="Arial"/>
          <w:sz w:val="19"/>
          <w:szCs w:val="19"/>
        </w:rPr>
        <w:t xml:space="preserve"> (SMI)</w:t>
      </w:r>
      <w:r w:rsidR="235E654C" w:rsidRPr="005360C1">
        <w:rPr>
          <w:rFonts w:eastAsia="Times New Roman" w:cs="Arial"/>
          <w:sz w:val="19"/>
          <w:szCs w:val="19"/>
        </w:rPr>
        <w:t xml:space="preserve"> AND the CBO determines the client is experiencing high energy burden, </w:t>
      </w:r>
      <w:r w:rsidR="0EF2D50D" w:rsidRPr="005360C1">
        <w:rPr>
          <w:rFonts w:eastAsia="Times New Roman" w:cs="Arial"/>
          <w:sz w:val="19"/>
          <w:szCs w:val="19"/>
        </w:rPr>
        <w:t xml:space="preserve">the CBO </w:t>
      </w:r>
      <w:r w:rsidR="54229424" w:rsidRPr="005360C1">
        <w:rPr>
          <w:rFonts w:eastAsia="Times New Roman" w:cs="Arial"/>
          <w:sz w:val="19"/>
          <w:szCs w:val="19"/>
        </w:rPr>
        <w:t>may</w:t>
      </w:r>
      <w:r w:rsidR="235E654C" w:rsidRPr="005360C1">
        <w:rPr>
          <w:rFonts w:eastAsia="Times New Roman" w:cs="Arial"/>
          <w:sz w:val="19"/>
          <w:szCs w:val="19"/>
        </w:rPr>
        <w:t xml:space="preserve"> pursue the No-Cost </w:t>
      </w:r>
      <w:r w:rsidR="1420FD01" w:rsidRPr="005360C1">
        <w:rPr>
          <w:rFonts w:eastAsia="Times New Roman" w:cs="Arial"/>
          <w:sz w:val="19"/>
          <w:szCs w:val="19"/>
        </w:rPr>
        <w:t xml:space="preserve">DHP </w:t>
      </w:r>
      <w:r w:rsidR="235E654C" w:rsidRPr="005360C1">
        <w:rPr>
          <w:rFonts w:eastAsia="Times New Roman" w:cs="Arial"/>
          <w:sz w:val="19"/>
          <w:szCs w:val="19"/>
        </w:rPr>
        <w:t>pathway and coordinate with a contractor to complete the DHP install.</w:t>
      </w:r>
      <w:r w:rsidR="02A95170" w:rsidRPr="005360C1">
        <w:rPr>
          <w:rFonts w:eastAsia="Times New Roman" w:cs="Arial"/>
          <w:sz w:val="19"/>
          <w:szCs w:val="19"/>
        </w:rPr>
        <w:t xml:space="preserve"> </w:t>
      </w:r>
    </w:p>
    <w:p w14:paraId="3314B62D" w14:textId="61343843" w:rsidR="000F3340" w:rsidRPr="005360C1" w:rsidRDefault="235E654C" w:rsidP="000F334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 xml:space="preserve">If the client </w:t>
      </w:r>
      <w:r w:rsidR="0E4FC483" w:rsidRPr="005360C1">
        <w:rPr>
          <w:rFonts w:eastAsia="Times New Roman" w:cs="Arial"/>
          <w:sz w:val="19"/>
          <w:szCs w:val="19"/>
        </w:rPr>
        <w:t>falls above 60% SMI</w:t>
      </w:r>
      <w:r w:rsidRPr="005360C1">
        <w:rPr>
          <w:rFonts w:eastAsia="Times New Roman" w:cs="Arial"/>
          <w:sz w:val="19"/>
          <w:szCs w:val="19"/>
        </w:rPr>
        <w:t xml:space="preserve"> and/or has some willingness to pay for the install, the CBO can provide a low-cost option via the CPF</w:t>
      </w:r>
      <w:r w:rsidR="2D9B385D" w:rsidRPr="005360C1">
        <w:rPr>
          <w:rFonts w:eastAsia="Times New Roman" w:cs="Arial"/>
          <w:sz w:val="19"/>
          <w:szCs w:val="19"/>
        </w:rPr>
        <w:t xml:space="preserve"> DHP</w:t>
      </w:r>
      <w:r w:rsidRPr="005360C1">
        <w:rPr>
          <w:rFonts w:eastAsia="Times New Roman" w:cs="Arial"/>
          <w:sz w:val="19"/>
          <w:szCs w:val="19"/>
        </w:rPr>
        <w:t xml:space="preserve"> incentive</w:t>
      </w:r>
      <w:r w:rsidR="2E8C6A66" w:rsidRPr="005360C1">
        <w:rPr>
          <w:rFonts w:eastAsia="Times New Roman" w:cs="Arial"/>
          <w:sz w:val="19"/>
          <w:szCs w:val="19"/>
        </w:rPr>
        <w:t xml:space="preserve"> (see table on pg. 2)</w:t>
      </w:r>
    </w:p>
    <w:p w14:paraId="476F984F" w14:textId="1F32EF22" w:rsidR="00F62BD7" w:rsidRPr="005360C1" w:rsidRDefault="00F62BD7" w:rsidP="000F334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Note, for lower income clients, CBOs should always consider a referral to their local community action agency free weatherization program.</w:t>
      </w:r>
    </w:p>
    <w:p w14:paraId="618B1971" w14:textId="48816D91" w:rsidR="0015043A" w:rsidRPr="005360C1" w:rsidRDefault="00180D07" w:rsidP="000F334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  <w:u w:val="single"/>
        </w:rPr>
        <w:t>Energy Trust Pre-approval</w:t>
      </w:r>
      <w:r w:rsidRPr="005360C1">
        <w:rPr>
          <w:rFonts w:eastAsia="Times New Roman" w:cs="Arial"/>
          <w:sz w:val="19"/>
          <w:szCs w:val="19"/>
        </w:rPr>
        <w:t xml:space="preserve">: </w:t>
      </w:r>
      <w:r w:rsidRPr="005360C1">
        <w:rPr>
          <w:rFonts w:eastAsia="Times New Roman" w:cs="Arial"/>
          <w:b/>
          <w:bCs/>
          <w:sz w:val="19"/>
          <w:szCs w:val="19"/>
        </w:rPr>
        <w:t>Before the DHP is installed</w:t>
      </w:r>
      <w:r w:rsidRPr="005360C1">
        <w:rPr>
          <w:rFonts w:eastAsia="Times New Roman" w:cs="Arial"/>
          <w:sz w:val="19"/>
          <w:szCs w:val="19"/>
        </w:rPr>
        <w:t xml:space="preserve">, </w:t>
      </w:r>
      <w:r w:rsidR="740909C5" w:rsidRPr="005360C1">
        <w:rPr>
          <w:rFonts w:eastAsia="Times New Roman" w:cs="Arial"/>
          <w:sz w:val="19"/>
          <w:szCs w:val="19"/>
        </w:rPr>
        <w:t xml:space="preserve">CBO should </w:t>
      </w:r>
      <w:r w:rsidRPr="005360C1">
        <w:rPr>
          <w:rFonts w:eastAsia="Times New Roman" w:cs="Arial"/>
          <w:sz w:val="19"/>
          <w:szCs w:val="19"/>
        </w:rPr>
        <w:t>contact</w:t>
      </w:r>
      <w:r w:rsidR="740909C5" w:rsidRPr="005360C1">
        <w:rPr>
          <w:rFonts w:eastAsia="Times New Roman" w:cs="Arial"/>
          <w:sz w:val="19"/>
          <w:szCs w:val="19"/>
        </w:rPr>
        <w:t xml:space="preserve"> Energy Trust </w:t>
      </w:r>
      <w:r w:rsidR="008E7536" w:rsidRPr="005360C1">
        <w:rPr>
          <w:rFonts w:eastAsia="Times New Roman" w:cs="Arial"/>
          <w:sz w:val="19"/>
          <w:szCs w:val="19"/>
        </w:rPr>
        <w:t xml:space="preserve">for </w:t>
      </w:r>
      <w:r w:rsidR="740909C5" w:rsidRPr="005360C1">
        <w:rPr>
          <w:rFonts w:eastAsia="Times New Roman" w:cs="Arial"/>
          <w:sz w:val="19"/>
          <w:szCs w:val="19"/>
        </w:rPr>
        <w:t>project pre-approval</w:t>
      </w:r>
      <w:r w:rsidR="0CF29235" w:rsidRPr="005360C1">
        <w:rPr>
          <w:rFonts w:eastAsia="Times New Roman" w:cs="Arial"/>
          <w:sz w:val="19"/>
          <w:szCs w:val="19"/>
        </w:rPr>
        <w:t xml:space="preserve">. </w:t>
      </w:r>
      <w:r w:rsidR="008E7536" w:rsidRPr="005360C1">
        <w:rPr>
          <w:rFonts w:eastAsia="Times New Roman" w:cs="Arial"/>
          <w:sz w:val="19"/>
          <w:szCs w:val="19"/>
        </w:rPr>
        <w:t>Please</w:t>
      </w:r>
      <w:r w:rsidR="0CF29235" w:rsidRPr="005360C1">
        <w:rPr>
          <w:rFonts w:eastAsia="Times New Roman" w:cs="Arial"/>
          <w:sz w:val="19"/>
          <w:szCs w:val="19"/>
        </w:rPr>
        <w:t xml:space="preserve"> send the following</w:t>
      </w:r>
      <w:r w:rsidR="008E7536" w:rsidRPr="005360C1">
        <w:rPr>
          <w:rFonts w:eastAsia="Times New Roman" w:cs="Arial"/>
          <w:sz w:val="19"/>
          <w:szCs w:val="19"/>
        </w:rPr>
        <w:t xml:space="preserve"> to </w:t>
      </w:r>
      <w:hyperlink r:id="rId10" w:history="1">
        <w:r w:rsidR="008E7536" w:rsidRPr="005360C1">
          <w:rPr>
            <w:rStyle w:val="Hyperlink"/>
            <w:rFonts w:eastAsia="Times New Roman" w:cs="Arial"/>
            <w:sz w:val="19"/>
            <w:szCs w:val="19"/>
          </w:rPr>
          <w:t>communitypartners@energytrust.org</w:t>
        </w:r>
      </w:hyperlink>
      <w:r w:rsidR="008E7536" w:rsidRPr="005360C1">
        <w:rPr>
          <w:rFonts w:eastAsia="Times New Roman" w:cs="Arial"/>
          <w:sz w:val="19"/>
          <w:szCs w:val="19"/>
        </w:rPr>
        <w:t xml:space="preserve">: </w:t>
      </w:r>
    </w:p>
    <w:p w14:paraId="7F417D26" w14:textId="2DDC8AF1" w:rsidR="005D7A9E" w:rsidRPr="005360C1" w:rsidRDefault="7BAE7EE0" w:rsidP="0015043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300 CPF form</w:t>
      </w:r>
    </w:p>
    <w:p w14:paraId="73F1BFA1" w14:textId="77777777" w:rsidR="005D7A9E" w:rsidRPr="005360C1" w:rsidRDefault="0CF29235" w:rsidP="0015043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DHP Questionnaire</w:t>
      </w:r>
    </w:p>
    <w:p w14:paraId="63C9B65B" w14:textId="01BF384A" w:rsidR="004A41DC" w:rsidRPr="005360C1" w:rsidRDefault="00D0248D" w:rsidP="0015043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DHP contractor</w:t>
      </w:r>
      <w:r w:rsidR="0CF29235" w:rsidRPr="005360C1">
        <w:rPr>
          <w:rFonts w:eastAsia="Times New Roman" w:cs="Arial"/>
          <w:sz w:val="19"/>
          <w:szCs w:val="19"/>
        </w:rPr>
        <w:t xml:space="preserve"> bid (</w:t>
      </w:r>
      <w:r w:rsidRPr="005360C1">
        <w:rPr>
          <w:rFonts w:eastAsia="Times New Roman" w:cs="Arial"/>
          <w:sz w:val="19"/>
          <w:szCs w:val="19"/>
        </w:rPr>
        <w:t>includes</w:t>
      </w:r>
      <w:r w:rsidR="0CF29235" w:rsidRPr="005360C1">
        <w:rPr>
          <w:rFonts w:eastAsia="Times New Roman" w:cs="Arial"/>
          <w:sz w:val="19"/>
          <w:szCs w:val="19"/>
        </w:rPr>
        <w:t xml:space="preserve"> proposed </w:t>
      </w:r>
      <w:r w:rsidR="005D7A9E" w:rsidRPr="005360C1">
        <w:rPr>
          <w:rFonts w:eastAsia="Times New Roman" w:cs="Arial"/>
          <w:sz w:val="19"/>
          <w:szCs w:val="19"/>
        </w:rPr>
        <w:t>DHP</w:t>
      </w:r>
      <w:r w:rsidRPr="005360C1">
        <w:rPr>
          <w:rFonts w:eastAsia="Times New Roman" w:cs="Arial"/>
          <w:sz w:val="19"/>
          <w:szCs w:val="19"/>
        </w:rPr>
        <w:t xml:space="preserve"> install</w:t>
      </w:r>
      <w:r w:rsidR="005D7A9E" w:rsidRPr="005360C1">
        <w:rPr>
          <w:rFonts w:eastAsia="Times New Roman" w:cs="Arial"/>
          <w:sz w:val="19"/>
          <w:szCs w:val="19"/>
        </w:rPr>
        <w:t xml:space="preserve"> </w:t>
      </w:r>
      <w:r w:rsidR="0CF29235" w:rsidRPr="005360C1">
        <w:rPr>
          <w:rFonts w:eastAsia="Times New Roman" w:cs="Arial"/>
          <w:sz w:val="19"/>
          <w:szCs w:val="19"/>
        </w:rPr>
        <w:t xml:space="preserve">costs) </w:t>
      </w:r>
      <w:r w:rsidR="740909C5" w:rsidRPr="005360C1">
        <w:rPr>
          <w:rFonts w:eastAsia="Times New Roman" w:cs="Arial"/>
          <w:sz w:val="19"/>
          <w:szCs w:val="19"/>
        </w:rPr>
        <w:t xml:space="preserve"> </w:t>
      </w:r>
    </w:p>
    <w:p w14:paraId="3C9D9F09" w14:textId="6D59787B" w:rsidR="000F3340" w:rsidRPr="005360C1" w:rsidRDefault="00E52037" w:rsidP="000F334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  <w:u w:val="single"/>
        </w:rPr>
        <w:t>Incentive Payment</w:t>
      </w:r>
      <w:r w:rsidRPr="005360C1">
        <w:rPr>
          <w:rFonts w:eastAsia="Times New Roman" w:cs="Arial"/>
          <w:sz w:val="19"/>
          <w:szCs w:val="19"/>
        </w:rPr>
        <w:t xml:space="preserve">: </w:t>
      </w:r>
      <w:r w:rsidR="235E654C" w:rsidRPr="005360C1">
        <w:rPr>
          <w:rFonts w:eastAsia="Times New Roman" w:cs="Arial"/>
          <w:sz w:val="19"/>
          <w:szCs w:val="19"/>
        </w:rPr>
        <w:t xml:space="preserve">After the install, the CBO and contractor coordinate to submit </w:t>
      </w:r>
      <w:r w:rsidR="7BAE7EE0" w:rsidRPr="005360C1">
        <w:rPr>
          <w:rFonts w:eastAsia="Times New Roman" w:cs="Arial"/>
          <w:sz w:val="19"/>
          <w:szCs w:val="19"/>
        </w:rPr>
        <w:t>the following to</w:t>
      </w:r>
      <w:r w:rsidRPr="005360C1">
        <w:rPr>
          <w:rFonts w:eastAsia="Times New Roman" w:cs="Arial"/>
          <w:sz w:val="19"/>
          <w:szCs w:val="19"/>
        </w:rPr>
        <w:t xml:space="preserve"> </w:t>
      </w:r>
      <w:hyperlink r:id="rId11" w:history="1">
        <w:r w:rsidRPr="005360C1">
          <w:rPr>
            <w:rStyle w:val="Hyperlink"/>
            <w:rFonts w:eastAsia="Times New Roman" w:cs="Arial"/>
            <w:sz w:val="19"/>
            <w:szCs w:val="19"/>
          </w:rPr>
          <w:t>communitypartners@energytrust.org</w:t>
        </w:r>
      </w:hyperlink>
      <w:r w:rsidRPr="005360C1">
        <w:rPr>
          <w:rFonts w:eastAsia="Times New Roman" w:cs="Arial"/>
          <w:sz w:val="19"/>
          <w:szCs w:val="19"/>
        </w:rPr>
        <w:t xml:space="preserve"> </w:t>
      </w:r>
      <w:r w:rsidR="235E654C" w:rsidRPr="005360C1">
        <w:rPr>
          <w:rFonts w:eastAsia="Times New Roman" w:cs="Arial"/>
          <w:sz w:val="19"/>
          <w:szCs w:val="19"/>
        </w:rPr>
        <w:t xml:space="preserve">to redeem the Energy Trust incentive.   </w:t>
      </w:r>
    </w:p>
    <w:p w14:paraId="662DADF2" w14:textId="0DBB2C1B" w:rsidR="00E52037" w:rsidRPr="005360C1" w:rsidRDefault="00E52037" w:rsidP="004E62B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320 CPF</w:t>
      </w:r>
      <w:r w:rsidR="00F53CA7" w:rsidRPr="005360C1">
        <w:rPr>
          <w:rFonts w:eastAsia="Times New Roman" w:cs="Arial"/>
          <w:sz w:val="19"/>
          <w:szCs w:val="19"/>
        </w:rPr>
        <w:t xml:space="preserve"> Form</w:t>
      </w:r>
      <w:r w:rsidRPr="005360C1">
        <w:rPr>
          <w:rFonts w:eastAsia="Times New Roman" w:cs="Arial"/>
          <w:sz w:val="19"/>
          <w:szCs w:val="19"/>
        </w:rPr>
        <w:t xml:space="preserve"> Project Details Form</w:t>
      </w:r>
    </w:p>
    <w:p w14:paraId="0CB732A9" w14:textId="77777777" w:rsidR="00E52037" w:rsidRPr="005360C1" w:rsidRDefault="7BAE7EE0" w:rsidP="004E62B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Fina</w:t>
      </w:r>
      <w:r w:rsidR="00E52037" w:rsidRPr="005360C1">
        <w:rPr>
          <w:rFonts w:eastAsia="Times New Roman" w:cs="Arial"/>
          <w:sz w:val="19"/>
          <w:szCs w:val="19"/>
        </w:rPr>
        <w:t xml:space="preserve">l contractor </w:t>
      </w:r>
      <w:r w:rsidRPr="005360C1">
        <w:rPr>
          <w:rFonts w:eastAsia="Times New Roman" w:cs="Arial"/>
          <w:sz w:val="19"/>
          <w:szCs w:val="19"/>
        </w:rPr>
        <w:t>invoice</w:t>
      </w:r>
    </w:p>
    <w:p w14:paraId="4F6EA5AD" w14:textId="1F7104FC" w:rsidR="004E62B3" w:rsidRPr="005360C1" w:rsidRDefault="00E52037" w:rsidP="004E62B3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sz w:val="19"/>
          <w:szCs w:val="19"/>
        </w:rPr>
      </w:pPr>
      <w:r w:rsidRPr="005360C1">
        <w:rPr>
          <w:rFonts w:eastAsia="Times New Roman" w:cs="Arial"/>
          <w:sz w:val="19"/>
          <w:szCs w:val="19"/>
        </w:rPr>
        <w:t>I</w:t>
      </w:r>
      <w:r w:rsidR="7BAE7EE0" w:rsidRPr="005360C1">
        <w:rPr>
          <w:rFonts w:eastAsia="Times New Roman" w:cs="Arial"/>
          <w:sz w:val="19"/>
          <w:szCs w:val="19"/>
        </w:rPr>
        <w:t>ndoor photos of the installed DHP</w:t>
      </w:r>
    </w:p>
    <w:p w14:paraId="6F3F66DD" w14:textId="77777777" w:rsidR="000F3340" w:rsidRPr="005360C1" w:rsidRDefault="000F3340" w:rsidP="000F3340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</w:p>
    <w:p w14:paraId="3DF719EF" w14:textId="4D798208" w:rsidR="00E52037" w:rsidRPr="005360C1" w:rsidRDefault="00D34C00" w:rsidP="000F3340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</w:rPr>
        <w:t xml:space="preserve">After </w:t>
      </w:r>
      <w:r w:rsidR="000A792D" w:rsidRPr="005360C1">
        <w:rPr>
          <w:rFonts w:ascii="Arial" w:eastAsia="Times New Roman" w:hAnsi="Arial" w:cs="Arial"/>
          <w:sz w:val="19"/>
          <w:szCs w:val="19"/>
        </w:rPr>
        <w:t>a CBO has completed 5 No-Cost DHP projects, Energy Trust pre-approval is not required if the DHP project costs are below the ‘Cost Maximums’ above.</w:t>
      </w:r>
    </w:p>
    <w:p w14:paraId="6614C07F" w14:textId="77777777" w:rsidR="00A25E18" w:rsidRPr="005360C1" w:rsidRDefault="00A25E18" w:rsidP="000F3340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</w:p>
    <w:p w14:paraId="4D3C1D71" w14:textId="4529AA4B" w:rsidR="00E52037" w:rsidRPr="005360C1" w:rsidRDefault="00A77939" w:rsidP="000F3340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</w:rPr>
        <w:t xml:space="preserve">For additional information about No-Cost DHP Projects, </w:t>
      </w:r>
      <w:r w:rsidRPr="005360C1">
        <w:rPr>
          <w:rFonts w:ascii="Arial" w:eastAsia="Times New Roman" w:hAnsi="Arial" w:cs="Arial"/>
          <w:b/>
          <w:bCs/>
          <w:sz w:val="19"/>
          <w:szCs w:val="19"/>
        </w:rPr>
        <w:t>please contact Joe St. James Lopez</w:t>
      </w:r>
      <w:r w:rsidRPr="005360C1">
        <w:rPr>
          <w:rFonts w:ascii="Arial" w:eastAsia="Times New Roman" w:hAnsi="Arial" w:cs="Arial"/>
          <w:sz w:val="19"/>
          <w:szCs w:val="19"/>
        </w:rPr>
        <w:t xml:space="preserve">, program specialist, at </w:t>
      </w:r>
      <w:hyperlink r:id="rId12" w:history="1">
        <w:r w:rsidR="00A25E18" w:rsidRPr="005360C1">
          <w:rPr>
            <w:rStyle w:val="Hyperlink"/>
            <w:rFonts w:ascii="Arial" w:eastAsia="Times New Roman" w:hAnsi="Arial" w:cs="Arial"/>
            <w:sz w:val="19"/>
            <w:szCs w:val="19"/>
          </w:rPr>
          <w:t>joe.stjameslopez@clearesult.com</w:t>
        </w:r>
      </w:hyperlink>
      <w:r w:rsidR="00A25E18" w:rsidRPr="005360C1">
        <w:rPr>
          <w:rFonts w:ascii="Arial" w:eastAsia="Times New Roman" w:hAnsi="Arial" w:cs="Arial"/>
          <w:sz w:val="19"/>
          <w:szCs w:val="19"/>
        </w:rPr>
        <w:t>.</w:t>
      </w:r>
    </w:p>
    <w:p w14:paraId="63FDB1FE" w14:textId="77777777" w:rsidR="00083A16" w:rsidRPr="005360C1" w:rsidRDefault="00083A16" w:rsidP="000F3340">
      <w:pPr>
        <w:spacing w:after="0"/>
        <w:jc w:val="both"/>
        <w:rPr>
          <w:rFonts w:ascii="Arial" w:eastAsia="Times New Roman" w:hAnsi="Arial" w:cs="Arial"/>
          <w:sz w:val="19"/>
          <w:szCs w:val="19"/>
        </w:rPr>
      </w:pPr>
    </w:p>
    <w:p w14:paraId="6955780F" w14:textId="77777777" w:rsidR="00932307" w:rsidRDefault="00083A16" w:rsidP="00030898">
      <w:pPr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</w:rPr>
      </w:pPr>
      <w:r w:rsidRPr="005360C1">
        <w:rPr>
          <w:rFonts w:ascii="Arial" w:eastAsia="Times New Roman" w:hAnsi="Arial" w:cs="Arial"/>
          <w:sz w:val="19"/>
          <w:szCs w:val="19"/>
          <w:u w:val="single"/>
        </w:rPr>
        <w:t>Co-Creation and Co-Implementation</w:t>
      </w:r>
      <w:r w:rsidRPr="005360C1">
        <w:rPr>
          <w:rFonts w:ascii="Arial" w:eastAsia="Times New Roman" w:hAnsi="Arial" w:cs="Arial"/>
          <w:sz w:val="19"/>
          <w:szCs w:val="19"/>
        </w:rPr>
        <w:t xml:space="preserve">: In 2022, Energy Trust worked with community-based organizations (CBOs) that are enrolled in Energy Trust’s Community Partner Funding (CPF) program to inform the design of this offering. These enrolled CBOs </w:t>
      </w:r>
      <w:r w:rsidR="00932307">
        <w:rPr>
          <w:rFonts w:ascii="Arial" w:eastAsia="Times New Roman" w:hAnsi="Arial" w:cs="Arial"/>
          <w:sz w:val="19"/>
          <w:szCs w:val="19"/>
        </w:rPr>
        <w:t>are</w:t>
      </w:r>
      <w:r w:rsidRPr="005360C1">
        <w:rPr>
          <w:rFonts w:ascii="Arial" w:eastAsia="Times New Roman" w:hAnsi="Arial" w:cs="Arial"/>
          <w:sz w:val="19"/>
          <w:szCs w:val="19"/>
        </w:rPr>
        <w:t xml:space="preserve"> the </w:t>
      </w:r>
      <w:r w:rsidR="00932307">
        <w:rPr>
          <w:rFonts w:ascii="Arial" w:eastAsia="Times New Roman" w:hAnsi="Arial" w:cs="Arial"/>
          <w:sz w:val="19"/>
          <w:szCs w:val="19"/>
        </w:rPr>
        <w:t>‘</w:t>
      </w:r>
      <w:r w:rsidRPr="005360C1">
        <w:rPr>
          <w:rFonts w:ascii="Arial" w:eastAsia="Times New Roman" w:hAnsi="Arial" w:cs="Arial"/>
          <w:sz w:val="19"/>
          <w:szCs w:val="19"/>
        </w:rPr>
        <w:t>boots on the ground</w:t>
      </w:r>
      <w:r w:rsidR="00932307">
        <w:rPr>
          <w:rFonts w:ascii="Arial" w:eastAsia="Times New Roman" w:hAnsi="Arial" w:cs="Arial"/>
          <w:sz w:val="19"/>
          <w:szCs w:val="19"/>
        </w:rPr>
        <w:t>’</w:t>
      </w:r>
      <w:r w:rsidRPr="005360C1">
        <w:rPr>
          <w:rFonts w:ascii="Arial" w:eastAsia="Times New Roman" w:hAnsi="Arial" w:cs="Arial"/>
          <w:sz w:val="19"/>
          <w:szCs w:val="19"/>
        </w:rPr>
        <w:t xml:space="preserve"> implementers</w:t>
      </w:r>
      <w:r w:rsidR="00932307">
        <w:rPr>
          <w:rFonts w:ascii="Arial" w:eastAsia="Times New Roman" w:hAnsi="Arial" w:cs="Arial"/>
          <w:sz w:val="19"/>
          <w:szCs w:val="19"/>
        </w:rPr>
        <w:t>:</w:t>
      </w:r>
      <w:r w:rsidRPr="005360C1">
        <w:rPr>
          <w:rFonts w:ascii="Arial" w:eastAsia="Times New Roman" w:hAnsi="Arial" w:cs="Arial"/>
          <w:sz w:val="19"/>
          <w:szCs w:val="19"/>
        </w:rPr>
        <w:t xml:space="preserve"> identify</w:t>
      </w:r>
      <w:r w:rsidR="00932307">
        <w:rPr>
          <w:rFonts w:ascii="Arial" w:eastAsia="Times New Roman" w:hAnsi="Arial" w:cs="Arial"/>
          <w:sz w:val="19"/>
          <w:szCs w:val="19"/>
        </w:rPr>
        <w:t>ing</w:t>
      </w:r>
      <w:r w:rsidRPr="005360C1">
        <w:rPr>
          <w:rFonts w:ascii="Arial" w:eastAsia="Times New Roman" w:hAnsi="Arial" w:cs="Arial"/>
          <w:sz w:val="19"/>
          <w:szCs w:val="19"/>
        </w:rPr>
        <w:t xml:space="preserve"> clients to receive this </w:t>
      </w:r>
      <w:proofErr w:type="gramStart"/>
      <w:r w:rsidRPr="005360C1">
        <w:rPr>
          <w:rFonts w:ascii="Arial" w:eastAsia="Times New Roman" w:hAnsi="Arial" w:cs="Arial"/>
          <w:sz w:val="19"/>
          <w:szCs w:val="19"/>
        </w:rPr>
        <w:t>offer, and</w:t>
      </w:r>
      <w:proofErr w:type="gramEnd"/>
      <w:r w:rsidRPr="005360C1">
        <w:rPr>
          <w:rFonts w:ascii="Arial" w:eastAsia="Times New Roman" w:hAnsi="Arial" w:cs="Arial"/>
          <w:sz w:val="19"/>
          <w:szCs w:val="19"/>
        </w:rPr>
        <w:t xml:space="preserve"> work</w:t>
      </w:r>
      <w:r w:rsidR="00932307">
        <w:rPr>
          <w:rFonts w:ascii="Arial" w:eastAsia="Times New Roman" w:hAnsi="Arial" w:cs="Arial"/>
          <w:sz w:val="19"/>
          <w:szCs w:val="19"/>
        </w:rPr>
        <w:t>ing</w:t>
      </w:r>
      <w:r w:rsidRPr="005360C1">
        <w:rPr>
          <w:rFonts w:ascii="Arial" w:eastAsia="Times New Roman" w:hAnsi="Arial" w:cs="Arial"/>
          <w:sz w:val="19"/>
          <w:szCs w:val="19"/>
        </w:rPr>
        <w:t xml:space="preserve"> with contractors to complete the </w:t>
      </w:r>
      <w:proofErr w:type="gramStart"/>
      <w:r w:rsidRPr="005360C1">
        <w:rPr>
          <w:rFonts w:ascii="Arial" w:eastAsia="Times New Roman" w:hAnsi="Arial" w:cs="Arial"/>
          <w:sz w:val="19"/>
          <w:szCs w:val="19"/>
        </w:rPr>
        <w:t>installs</w:t>
      </w:r>
      <w:proofErr w:type="gramEnd"/>
      <w:r w:rsidRPr="005360C1">
        <w:rPr>
          <w:rFonts w:ascii="Arial" w:eastAsia="Times New Roman" w:hAnsi="Arial" w:cs="Arial"/>
          <w:sz w:val="19"/>
          <w:szCs w:val="19"/>
        </w:rPr>
        <w:t xml:space="preserve">. </w:t>
      </w:r>
    </w:p>
    <w:p w14:paraId="6F935DFF" w14:textId="6EBAF1EF" w:rsidR="0015043A" w:rsidRPr="00932307" w:rsidRDefault="00083A16" w:rsidP="00030898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9"/>
          <w:szCs w:val="19"/>
        </w:rPr>
      </w:pPr>
      <w:r w:rsidRPr="00932307">
        <w:rPr>
          <w:rFonts w:ascii="Arial" w:eastAsia="Times New Roman" w:hAnsi="Arial" w:cs="Arial"/>
          <w:i/>
          <w:iCs/>
          <w:sz w:val="19"/>
          <w:szCs w:val="19"/>
        </w:rPr>
        <w:t>Energy Trust welcomes continu</w:t>
      </w:r>
      <w:r w:rsidR="00932307">
        <w:rPr>
          <w:rFonts w:ascii="Arial" w:eastAsia="Times New Roman" w:hAnsi="Arial" w:cs="Arial"/>
          <w:i/>
          <w:iCs/>
          <w:sz w:val="19"/>
          <w:szCs w:val="19"/>
        </w:rPr>
        <w:t>al</w:t>
      </w:r>
      <w:r w:rsidRPr="00932307">
        <w:rPr>
          <w:rFonts w:ascii="Arial" w:eastAsia="Times New Roman" w:hAnsi="Arial" w:cs="Arial"/>
          <w:i/>
          <w:iCs/>
          <w:sz w:val="19"/>
          <w:szCs w:val="19"/>
        </w:rPr>
        <w:t xml:space="preserve"> feedback from CBOs and contractors to improve this offer. </w:t>
      </w:r>
    </w:p>
    <w:p w14:paraId="6E5A1D59" w14:textId="03999744" w:rsidR="000F3340" w:rsidRPr="00007578" w:rsidRDefault="005360C1" w:rsidP="009E4072">
      <w:pPr>
        <w:pStyle w:val="Caption"/>
        <w:keepNext/>
        <w:rPr>
          <w:rFonts w:eastAsia="Times New Roman" w:cs="Arial"/>
          <w:b/>
          <w:bCs/>
          <w:i w:val="0"/>
          <w:iCs w:val="0"/>
          <w:color w:val="auto"/>
          <w:sz w:val="22"/>
          <w:szCs w:val="22"/>
        </w:rPr>
      </w:pPr>
      <w:r>
        <w:rPr>
          <w:rFonts w:cs="Arial"/>
          <w:b/>
          <w:bCs/>
          <w:i w:val="0"/>
          <w:iCs w:val="0"/>
          <w:color w:val="auto"/>
          <w:sz w:val="20"/>
          <w:szCs w:val="20"/>
        </w:rPr>
        <w:lastRenderedPageBreak/>
        <w:t xml:space="preserve">Table 1. </w:t>
      </w:r>
      <w:r w:rsidR="00DA4E86" w:rsidRPr="00007578">
        <w:rPr>
          <w:rFonts w:cs="Arial"/>
          <w:b/>
          <w:bCs/>
          <w:i w:val="0"/>
          <w:iCs w:val="0"/>
          <w:color w:val="auto"/>
          <w:sz w:val="20"/>
          <w:szCs w:val="20"/>
        </w:rPr>
        <w:t>No-Cost DHP</w:t>
      </w:r>
      <w:r w:rsidR="000F3340" w:rsidRPr="00007578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 Income Guidelines – </w:t>
      </w:r>
      <w:r w:rsidR="00451BD7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2023 </w:t>
      </w:r>
      <w:r w:rsidR="000F3340" w:rsidRPr="00007578">
        <w:rPr>
          <w:rFonts w:cs="Arial"/>
          <w:b/>
          <w:bCs/>
          <w:i w:val="0"/>
          <w:iCs w:val="0"/>
          <w:color w:val="auto"/>
          <w:sz w:val="20"/>
          <w:szCs w:val="20"/>
        </w:rPr>
        <w:t>Oregon 60% State Median Income</w:t>
      </w:r>
    </w:p>
    <w:tbl>
      <w:tblPr>
        <w:tblStyle w:val="TableGrid"/>
        <w:tblW w:w="7390" w:type="dxa"/>
        <w:tblLayout w:type="fixed"/>
        <w:tblLook w:val="04A0" w:firstRow="1" w:lastRow="0" w:firstColumn="1" w:lastColumn="0" w:noHBand="0" w:noVBand="1"/>
      </w:tblPr>
      <w:tblGrid>
        <w:gridCol w:w="2383"/>
        <w:gridCol w:w="2395"/>
        <w:gridCol w:w="2612"/>
      </w:tblGrid>
      <w:tr w:rsidR="000F3340" w:rsidRPr="000F3340" w14:paraId="3CA1B54E" w14:textId="77777777" w:rsidTr="009E4072">
        <w:trPr>
          <w:trHeight w:val="430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595"/>
            <w:vAlign w:val="center"/>
          </w:tcPr>
          <w:p w14:paraId="1224E349" w14:textId="77777777" w:rsidR="000F3340" w:rsidRPr="005360C1" w:rsidRDefault="000F3340" w:rsidP="00681927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eastAsia="Arial" w:cs="Arial"/>
                <w:color w:val="FFFFFF" w:themeColor="background1"/>
                <w:sz w:val="19"/>
                <w:szCs w:val="19"/>
              </w:rPr>
              <w:t>Household Size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595"/>
            <w:vAlign w:val="center"/>
          </w:tcPr>
          <w:p w14:paraId="2C30160D" w14:textId="77777777" w:rsidR="000F3340" w:rsidRPr="005360C1" w:rsidRDefault="000F3340" w:rsidP="00681927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eastAsia="Arial" w:cs="Arial"/>
                <w:color w:val="FFFFFF" w:themeColor="background1"/>
                <w:sz w:val="19"/>
                <w:szCs w:val="19"/>
              </w:rPr>
              <w:t>Annual Gross Income*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595"/>
            <w:vAlign w:val="center"/>
          </w:tcPr>
          <w:p w14:paraId="4BCAC2D8" w14:textId="77777777" w:rsidR="000F3340" w:rsidRPr="005360C1" w:rsidRDefault="000F3340" w:rsidP="00681927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eastAsia="Arial" w:cs="Arial"/>
                <w:color w:val="FFFFFF" w:themeColor="background1"/>
                <w:sz w:val="19"/>
                <w:szCs w:val="19"/>
              </w:rPr>
              <w:t>Monthly Gross Income*</w:t>
            </w:r>
          </w:p>
        </w:tc>
      </w:tr>
      <w:tr w:rsidR="00915836" w:rsidRPr="000F3340" w14:paraId="119650F5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54D33" w14:textId="4158C105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F6B88" w14:textId="4763A36E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$31,266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CF742" w14:textId="0690C257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$2,605.60</w:t>
            </w:r>
          </w:p>
        </w:tc>
      </w:tr>
      <w:tr w:rsidR="00915836" w:rsidRPr="000F3340" w14:paraId="5B297805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4EAC8066" w14:textId="0CAFD768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4AC6A823" w14:textId="55F8A0ED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$40,886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422D33D0" w14:textId="19C35C65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$3,407.17</w:t>
            </w:r>
          </w:p>
        </w:tc>
      </w:tr>
      <w:tr w:rsidR="00915836" w:rsidRPr="000F3340" w14:paraId="22388B6C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E4044" w14:textId="302932F3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3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527C" w14:textId="50DBEE67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$50,506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D3A76" w14:textId="150453BD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$4,208.83</w:t>
            </w:r>
          </w:p>
        </w:tc>
      </w:tr>
      <w:tr w:rsidR="00915836" w:rsidRPr="000F3340" w14:paraId="37C0B010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6E497DCE" w14:textId="2DFF6F99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4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146C444B" w14:textId="453C6B8D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$60,126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1884BFD9" w14:textId="4E51E6E6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$5,010.50</w:t>
            </w:r>
          </w:p>
        </w:tc>
      </w:tr>
      <w:tr w:rsidR="00915836" w:rsidRPr="000F3340" w14:paraId="487EAC26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F338B" w14:textId="0F8241F9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5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9649E" w14:textId="3DE4CFF2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$69,747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5C476" w14:textId="3DB4832E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$5,812.25</w:t>
            </w:r>
          </w:p>
        </w:tc>
      </w:tr>
      <w:tr w:rsidR="00915836" w:rsidRPr="000F3340" w14:paraId="7DFF44FE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3E9EFA02" w14:textId="54FC47FF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6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73E9EE26" w14:textId="0525E203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$79,367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70621652" w14:textId="0439BFF0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$6,613.92</w:t>
            </w:r>
          </w:p>
        </w:tc>
      </w:tr>
      <w:tr w:rsidR="00915836" w:rsidRPr="000F3340" w14:paraId="6AE65A65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B231" w14:textId="278CD9E6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7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EEDA0" w14:textId="71154E42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$81,171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ED536" w14:textId="0DCF10FF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$6,764.25</w:t>
            </w:r>
          </w:p>
        </w:tc>
      </w:tr>
      <w:tr w:rsidR="00915836" w:rsidRPr="000F3340" w14:paraId="5143E055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2226D678" w14:textId="332E0B02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46FE8426" w14:textId="431B3122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$82,974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2D207561" w14:textId="6F7B5068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$6,914.50</w:t>
            </w:r>
          </w:p>
        </w:tc>
      </w:tr>
      <w:tr w:rsidR="00915836" w:rsidRPr="000F3340" w14:paraId="6A9B7E93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1EB68" w14:textId="72BA3BB4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0B60B" w14:textId="7ED67BFE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$84,778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4A5DA" w14:textId="4632F234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$7,064.83</w:t>
            </w:r>
          </w:p>
        </w:tc>
      </w:tr>
      <w:tr w:rsidR="00915836" w:rsidRPr="000F3340" w14:paraId="46FD331C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6A53BA32" w14:textId="4B8203E8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291B067A" w14:textId="0EB89C77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$86,582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0CD448E5" w14:textId="3A1B061C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$7,215.17 </w:t>
            </w:r>
          </w:p>
        </w:tc>
      </w:tr>
      <w:tr w:rsidR="00915836" w:rsidRPr="000F3340" w14:paraId="1EE9CCE9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9EA2AB" w14:textId="03C940FC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370BC" w14:textId="444AF5A4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$88,386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8A473" w14:textId="45F5382C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$7,365.50</w:t>
            </w:r>
          </w:p>
        </w:tc>
      </w:tr>
      <w:tr w:rsidR="00915836" w:rsidRPr="000F3340" w14:paraId="6B9B39E4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0A66C750" w14:textId="15C37FBB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12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23F8F22D" w14:textId="30EA3675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$90,189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E3DB"/>
            <w:vAlign w:val="center"/>
          </w:tcPr>
          <w:p w14:paraId="206F5EF9" w14:textId="0ED1B6ED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$7,515.75</w:t>
            </w:r>
          </w:p>
        </w:tc>
      </w:tr>
      <w:tr w:rsidR="00915836" w:rsidRPr="000F3340" w14:paraId="775A4F4D" w14:textId="77777777" w:rsidTr="009E4072">
        <w:trPr>
          <w:trHeight w:val="238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8CBF3" w14:textId="6540E9C7" w:rsidR="00915836" w:rsidRPr="005360C1" w:rsidRDefault="00915836" w:rsidP="00915836">
            <w:pPr>
              <w:tabs>
                <w:tab w:val="left" w:pos="2717"/>
              </w:tabs>
              <w:jc w:val="center"/>
              <w:rPr>
                <w:rFonts w:eastAsia="Arial"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Each Additional Member​</w:t>
            </w:r>
          </w:p>
        </w:tc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50751" w14:textId="14B13906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​$1,803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6054" w14:textId="1169104F" w:rsidR="00915836" w:rsidRPr="005360C1" w:rsidRDefault="00915836" w:rsidP="00915836">
            <w:pPr>
              <w:jc w:val="center"/>
              <w:rPr>
                <w:rFonts w:cs="Arial"/>
                <w:sz w:val="19"/>
                <w:szCs w:val="19"/>
              </w:rPr>
            </w:pPr>
            <w:r w:rsidRPr="005360C1">
              <w:rPr>
                <w:rFonts w:cs="Arial"/>
                <w:color w:val="333333"/>
                <w:sz w:val="19"/>
                <w:szCs w:val="19"/>
              </w:rPr>
              <w:t>​$150.25</w:t>
            </w:r>
          </w:p>
        </w:tc>
      </w:tr>
    </w:tbl>
    <w:p w14:paraId="5EA1468A" w14:textId="77777777" w:rsidR="000F3340" w:rsidRPr="000F3340" w:rsidRDefault="000F3340" w:rsidP="000F334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6C1C08DA" w14:textId="2DC3F55A" w:rsidR="000F3340" w:rsidRPr="00007578" w:rsidRDefault="005360C1" w:rsidP="009E4072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Table 2. </w:t>
      </w:r>
      <w:r w:rsidR="00007578" w:rsidRPr="00007578">
        <w:rPr>
          <w:rFonts w:ascii="Arial" w:eastAsia="Times New Roman" w:hAnsi="Arial" w:cs="Arial"/>
          <w:b/>
          <w:bCs/>
          <w:sz w:val="20"/>
          <w:szCs w:val="20"/>
        </w:rPr>
        <w:t>Community Partner Funding DHP Incentives vs No-Cost DHP Incentives Summary</w:t>
      </w:r>
    </w:p>
    <w:p w14:paraId="39DDA13F" w14:textId="77777777" w:rsidR="00007578" w:rsidRDefault="00007578" w:rsidP="000F334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160"/>
        <w:gridCol w:w="2970"/>
        <w:gridCol w:w="4770"/>
      </w:tblGrid>
      <w:tr w:rsidR="00B45C3B" w:rsidRPr="00744D4B" w14:paraId="06AF0780" w14:textId="77777777" w:rsidTr="009E4072">
        <w:trPr>
          <w:trHeight w:val="412"/>
        </w:trPr>
        <w:tc>
          <w:tcPr>
            <w:tcW w:w="2160" w:type="dxa"/>
            <w:shd w:val="clear" w:color="auto" w:fill="006595"/>
          </w:tcPr>
          <w:p w14:paraId="0DB14EDB" w14:textId="77777777" w:rsidR="00B45C3B" w:rsidRPr="001F58F6" w:rsidRDefault="00B45C3B" w:rsidP="00681927">
            <w:pPr>
              <w:rPr>
                <w:rFonts w:cs="Arial"/>
              </w:rPr>
            </w:pPr>
          </w:p>
        </w:tc>
        <w:tc>
          <w:tcPr>
            <w:tcW w:w="2970" w:type="dxa"/>
            <w:shd w:val="clear" w:color="auto" w:fill="006595"/>
            <w:vAlign w:val="center"/>
          </w:tcPr>
          <w:p w14:paraId="132D9072" w14:textId="55620A26" w:rsidR="00B45C3B" w:rsidRPr="005360C1" w:rsidRDefault="00B45C3B" w:rsidP="009E4072">
            <w:pPr>
              <w:rPr>
                <w:rFonts w:cs="Arial"/>
                <w:color w:val="FFFFFF" w:themeColor="background1"/>
              </w:rPr>
            </w:pPr>
            <w:r w:rsidRPr="005360C1">
              <w:rPr>
                <w:rFonts w:cs="Arial"/>
                <w:color w:val="FFFFFF" w:themeColor="background1"/>
              </w:rPr>
              <w:t>CPF DHP Incentives</w:t>
            </w:r>
          </w:p>
        </w:tc>
        <w:tc>
          <w:tcPr>
            <w:tcW w:w="4770" w:type="dxa"/>
            <w:shd w:val="clear" w:color="auto" w:fill="006595"/>
            <w:vAlign w:val="center"/>
          </w:tcPr>
          <w:p w14:paraId="560B32F7" w14:textId="77777777" w:rsidR="00B45C3B" w:rsidRPr="005360C1" w:rsidRDefault="00B45C3B" w:rsidP="009E4072">
            <w:pPr>
              <w:rPr>
                <w:rFonts w:cs="Arial"/>
                <w:color w:val="FFFFFF" w:themeColor="background1"/>
              </w:rPr>
            </w:pPr>
            <w:r w:rsidRPr="005360C1">
              <w:rPr>
                <w:rFonts w:cs="Arial"/>
                <w:color w:val="FFFFFF" w:themeColor="background1"/>
              </w:rPr>
              <w:t>No-Cost DHP</w:t>
            </w:r>
          </w:p>
        </w:tc>
      </w:tr>
      <w:tr w:rsidR="00B45C3B" w:rsidRPr="00744D4B" w14:paraId="49922D76" w14:textId="77777777" w:rsidTr="009E4072">
        <w:trPr>
          <w:trHeight w:val="1340"/>
        </w:trPr>
        <w:tc>
          <w:tcPr>
            <w:tcW w:w="2160" w:type="dxa"/>
            <w:shd w:val="clear" w:color="auto" w:fill="006595"/>
            <w:vAlign w:val="center"/>
          </w:tcPr>
          <w:p w14:paraId="03BF5DD8" w14:textId="77777777" w:rsidR="00B45C3B" w:rsidRPr="001F58F6" w:rsidRDefault="00B45C3B" w:rsidP="009E4072">
            <w:pPr>
              <w:rPr>
                <w:rFonts w:cs="Arial"/>
                <w:color w:val="FFFFFF" w:themeColor="background1"/>
              </w:rPr>
            </w:pPr>
            <w:r w:rsidRPr="001F58F6">
              <w:rPr>
                <w:rFonts w:cs="Arial"/>
                <w:color w:val="FFFFFF" w:themeColor="background1"/>
              </w:rPr>
              <w:t>Customer Eligibility Requirements</w:t>
            </w:r>
          </w:p>
        </w:tc>
        <w:tc>
          <w:tcPr>
            <w:tcW w:w="2970" w:type="dxa"/>
          </w:tcPr>
          <w:p w14:paraId="3BF6EA34" w14:textId="77777777" w:rsidR="0049107E" w:rsidRPr="001F58F6" w:rsidRDefault="0049107E" w:rsidP="0049107E">
            <w:pPr>
              <w:rPr>
                <w:rFonts w:cs="Arial"/>
              </w:rPr>
            </w:pPr>
            <w:r w:rsidRPr="001F58F6">
              <w:rPr>
                <w:rFonts w:cs="Arial"/>
              </w:rPr>
              <w:t>CPF Client of the Participating CBO</w:t>
            </w:r>
          </w:p>
          <w:p w14:paraId="478C2140" w14:textId="0216B3A8" w:rsidR="00B45C3B" w:rsidRPr="001F58F6" w:rsidRDefault="00B45C3B" w:rsidP="00681927">
            <w:pPr>
              <w:rPr>
                <w:rFonts w:cs="Arial"/>
              </w:rPr>
            </w:pPr>
          </w:p>
        </w:tc>
        <w:tc>
          <w:tcPr>
            <w:tcW w:w="4770" w:type="dxa"/>
          </w:tcPr>
          <w:p w14:paraId="65E46386" w14:textId="05F27540" w:rsidR="00B45C3B" w:rsidRPr="001F58F6" w:rsidRDefault="00B45C3B" w:rsidP="00511DF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 xml:space="preserve">CPF Client </w:t>
            </w:r>
            <w:r w:rsidR="0049107E" w:rsidRPr="001F58F6">
              <w:rPr>
                <w:rFonts w:cs="Arial"/>
              </w:rPr>
              <w:t>of the Participating CBO</w:t>
            </w:r>
          </w:p>
          <w:p w14:paraId="05CAEC44" w14:textId="77777777" w:rsidR="00B45C3B" w:rsidRPr="001F58F6" w:rsidRDefault="00B45C3B" w:rsidP="00511DF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>Income less than 60% of SMI</w:t>
            </w:r>
          </w:p>
          <w:p w14:paraId="54D6A559" w14:textId="094D6CBB" w:rsidR="00B45C3B" w:rsidRPr="001F58F6" w:rsidRDefault="00B45C3B" w:rsidP="00511DF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 xml:space="preserve">Experiencing </w:t>
            </w:r>
            <w:r w:rsidR="009E4072">
              <w:rPr>
                <w:rFonts w:cs="Arial"/>
              </w:rPr>
              <w:t>h</w:t>
            </w:r>
            <w:r w:rsidRPr="001F58F6">
              <w:rPr>
                <w:rFonts w:cs="Arial"/>
              </w:rPr>
              <w:t>igh</w:t>
            </w:r>
            <w:r w:rsidR="009E4072">
              <w:rPr>
                <w:rFonts w:cs="Arial"/>
              </w:rPr>
              <w:t>er</w:t>
            </w:r>
            <w:r w:rsidRPr="001F58F6">
              <w:rPr>
                <w:rFonts w:cs="Arial"/>
              </w:rPr>
              <w:t xml:space="preserve"> </w:t>
            </w:r>
            <w:r w:rsidR="009E4072">
              <w:rPr>
                <w:rFonts w:cs="Arial"/>
              </w:rPr>
              <w:t>e</w:t>
            </w:r>
            <w:r w:rsidRPr="001F58F6">
              <w:rPr>
                <w:rFonts w:cs="Arial"/>
              </w:rPr>
              <w:t xml:space="preserve">nergy </w:t>
            </w:r>
            <w:r w:rsidR="009E4072">
              <w:rPr>
                <w:rFonts w:cs="Arial"/>
              </w:rPr>
              <w:t>b</w:t>
            </w:r>
            <w:r w:rsidRPr="001F58F6">
              <w:rPr>
                <w:rFonts w:cs="Arial"/>
              </w:rPr>
              <w:t xml:space="preserve">urden (determined using the </w:t>
            </w:r>
            <w:r w:rsidR="00030898" w:rsidRPr="001F58F6">
              <w:rPr>
                <w:rFonts w:cs="Arial"/>
              </w:rPr>
              <w:t xml:space="preserve">DHP </w:t>
            </w:r>
            <w:r w:rsidRPr="001F58F6">
              <w:rPr>
                <w:rFonts w:cs="Arial"/>
              </w:rPr>
              <w:t>Questionnaire)</w:t>
            </w:r>
          </w:p>
        </w:tc>
      </w:tr>
      <w:tr w:rsidR="00FA416E" w:rsidRPr="00744D4B" w14:paraId="3B35FEBF" w14:textId="77777777" w:rsidTr="009E4072">
        <w:trPr>
          <w:trHeight w:val="550"/>
        </w:trPr>
        <w:tc>
          <w:tcPr>
            <w:tcW w:w="2160" w:type="dxa"/>
            <w:vMerge w:val="restart"/>
            <w:shd w:val="clear" w:color="auto" w:fill="006595"/>
            <w:vAlign w:val="center"/>
          </w:tcPr>
          <w:p w14:paraId="07E6D173" w14:textId="77777777" w:rsidR="00FA416E" w:rsidRPr="001F58F6" w:rsidRDefault="00FA416E" w:rsidP="009E4072">
            <w:pPr>
              <w:rPr>
                <w:rFonts w:cs="Arial"/>
                <w:color w:val="FFFFFF" w:themeColor="background1"/>
              </w:rPr>
            </w:pPr>
            <w:r w:rsidRPr="001F58F6">
              <w:rPr>
                <w:rFonts w:cs="Arial"/>
                <w:color w:val="FFFFFF" w:themeColor="background1"/>
              </w:rPr>
              <w:t xml:space="preserve">Home Eligibility Requirements </w:t>
            </w:r>
          </w:p>
        </w:tc>
        <w:tc>
          <w:tcPr>
            <w:tcW w:w="7740" w:type="dxa"/>
            <w:gridSpan w:val="2"/>
            <w:shd w:val="clear" w:color="auto" w:fill="F2F2F2" w:themeFill="background1" w:themeFillShade="F2"/>
          </w:tcPr>
          <w:p w14:paraId="140FA293" w14:textId="1FE3C4AB" w:rsidR="00FA416E" w:rsidRPr="001F58F6" w:rsidRDefault="00FA416E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>Single-family, manufactured homes, and small multifamily properties</w:t>
            </w:r>
          </w:p>
          <w:p w14:paraId="36DC9C99" w14:textId="77777777" w:rsidR="00FA416E" w:rsidRPr="001F58F6" w:rsidRDefault="00FA416E" w:rsidP="00681927">
            <w:pPr>
              <w:rPr>
                <w:rFonts w:cs="Arial"/>
              </w:rPr>
            </w:pPr>
          </w:p>
          <w:p w14:paraId="3C6A01FA" w14:textId="101F7D7B" w:rsidR="00FA416E" w:rsidRPr="001F58F6" w:rsidRDefault="00FA416E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>DHPs should displacing electric resistance heat:</w:t>
            </w:r>
          </w:p>
          <w:p w14:paraId="4F6BEE24" w14:textId="77777777" w:rsidR="00FA416E" w:rsidRPr="001F58F6" w:rsidRDefault="00FA416E" w:rsidP="007000E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1F58F6">
              <w:rPr>
                <w:rFonts w:cs="Arial"/>
              </w:rPr>
              <w:t>electric furnace</w:t>
            </w:r>
          </w:p>
          <w:p w14:paraId="48706017" w14:textId="18B413E5" w:rsidR="00FA416E" w:rsidRPr="001F58F6" w:rsidRDefault="00FA416E" w:rsidP="007000E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1F58F6">
              <w:rPr>
                <w:rFonts w:cs="Arial"/>
              </w:rPr>
              <w:t>zonal heat such as wall cadets or electric baseboards)</w:t>
            </w:r>
          </w:p>
          <w:p w14:paraId="1A232946" w14:textId="77777777" w:rsidR="00FA416E" w:rsidRPr="001F58F6" w:rsidRDefault="00FA416E" w:rsidP="00681927">
            <w:pPr>
              <w:rPr>
                <w:rFonts w:cs="Arial"/>
              </w:rPr>
            </w:pPr>
          </w:p>
          <w:p w14:paraId="636BD778" w14:textId="41860E45" w:rsidR="00FA416E" w:rsidRPr="001F58F6" w:rsidRDefault="00FA416E" w:rsidP="004011CB">
            <w:pPr>
              <w:rPr>
                <w:rFonts w:cs="Arial"/>
              </w:rPr>
            </w:pPr>
            <w:r w:rsidRPr="001F58F6">
              <w:rPr>
                <w:rFonts w:cs="Arial"/>
              </w:rPr>
              <w:t>Homes with natural gas heat are not eligible.</w:t>
            </w:r>
          </w:p>
        </w:tc>
      </w:tr>
      <w:tr w:rsidR="00FA416E" w:rsidRPr="00744D4B" w14:paraId="0EF47503" w14:textId="77777777" w:rsidTr="009E4072">
        <w:trPr>
          <w:trHeight w:val="550"/>
        </w:trPr>
        <w:tc>
          <w:tcPr>
            <w:tcW w:w="2160" w:type="dxa"/>
            <w:vMerge/>
            <w:shd w:val="clear" w:color="auto" w:fill="006595"/>
            <w:vAlign w:val="center"/>
          </w:tcPr>
          <w:p w14:paraId="623FDC92" w14:textId="77777777" w:rsidR="00FA416E" w:rsidRPr="001F58F6" w:rsidRDefault="00FA416E" w:rsidP="009E4072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14:paraId="67077588" w14:textId="7922A689" w:rsidR="00FA416E" w:rsidRPr="001F58F6" w:rsidRDefault="00FA416E" w:rsidP="00681927">
            <w:pPr>
              <w:rPr>
                <w:rFonts w:cs="Arial"/>
              </w:rPr>
            </w:pPr>
          </w:p>
        </w:tc>
        <w:tc>
          <w:tcPr>
            <w:tcW w:w="4770" w:type="dxa"/>
            <w:shd w:val="clear" w:color="auto" w:fill="F2F2F2" w:themeFill="background1" w:themeFillShade="F2"/>
          </w:tcPr>
          <w:p w14:paraId="46FDBACF" w14:textId="0A4DBF62" w:rsidR="00FA416E" w:rsidRPr="001F58F6" w:rsidRDefault="00FA416E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 xml:space="preserve">Homes </w:t>
            </w:r>
            <w:r w:rsidR="00DA0E55">
              <w:rPr>
                <w:rFonts w:cs="Arial"/>
              </w:rPr>
              <w:t>heated by</w:t>
            </w:r>
            <w:r w:rsidRPr="001F58F6">
              <w:rPr>
                <w:rFonts w:cs="Arial"/>
              </w:rPr>
              <w:t xml:space="preserve"> supplemental non-utility fuel (wood, oil, etc.) may be eligible.</w:t>
            </w:r>
          </w:p>
        </w:tc>
      </w:tr>
      <w:tr w:rsidR="00B45C3B" w:rsidRPr="00744D4B" w14:paraId="6CA83D30" w14:textId="77777777" w:rsidTr="009E4072">
        <w:trPr>
          <w:trHeight w:val="630"/>
        </w:trPr>
        <w:tc>
          <w:tcPr>
            <w:tcW w:w="2160" w:type="dxa"/>
            <w:shd w:val="clear" w:color="auto" w:fill="006595"/>
            <w:vAlign w:val="center"/>
          </w:tcPr>
          <w:p w14:paraId="217AAB4C" w14:textId="77777777" w:rsidR="00B45C3B" w:rsidRPr="001F58F6" w:rsidRDefault="00B45C3B" w:rsidP="009E4072">
            <w:pPr>
              <w:rPr>
                <w:rFonts w:cs="Arial"/>
                <w:color w:val="FFFFFF" w:themeColor="background1"/>
              </w:rPr>
            </w:pPr>
            <w:r w:rsidRPr="001F58F6">
              <w:rPr>
                <w:rFonts w:cs="Arial"/>
                <w:color w:val="FFFFFF" w:themeColor="background1"/>
              </w:rPr>
              <w:t>Incentive Amounts</w:t>
            </w:r>
          </w:p>
        </w:tc>
        <w:tc>
          <w:tcPr>
            <w:tcW w:w="2970" w:type="dxa"/>
          </w:tcPr>
          <w:p w14:paraId="38780826" w14:textId="56D51D13" w:rsidR="004B6A6B" w:rsidRPr="001F58F6" w:rsidRDefault="004B6A6B" w:rsidP="004B6A6B">
            <w:pPr>
              <w:rPr>
                <w:rFonts w:cs="Arial"/>
              </w:rPr>
            </w:pPr>
            <w:r w:rsidRPr="001F58F6">
              <w:rPr>
                <w:rFonts w:cs="Arial"/>
              </w:rPr>
              <w:t>$1,850 for small multifamily</w:t>
            </w:r>
            <w:r w:rsidR="00D3700D" w:rsidRPr="001F58F6">
              <w:rPr>
                <w:rFonts w:cs="Arial"/>
              </w:rPr>
              <w:t xml:space="preserve"> properties</w:t>
            </w:r>
          </w:p>
          <w:p w14:paraId="6C5D6903" w14:textId="046FB1A6" w:rsidR="00767128" w:rsidRPr="001F58F6" w:rsidRDefault="00B45C3B" w:rsidP="004B6A6B">
            <w:pPr>
              <w:rPr>
                <w:rFonts w:cs="Arial"/>
              </w:rPr>
            </w:pPr>
            <w:r w:rsidRPr="001F58F6">
              <w:rPr>
                <w:rFonts w:cs="Arial"/>
              </w:rPr>
              <w:t xml:space="preserve">$2,900 for </w:t>
            </w:r>
            <w:r w:rsidR="00F52DE5" w:rsidRPr="001F58F6">
              <w:rPr>
                <w:rFonts w:cs="Arial"/>
              </w:rPr>
              <w:t xml:space="preserve">electric </w:t>
            </w:r>
            <w:r w:rsidRPr="001F58F6">
              <w:rPr>
                <w:rFonts w:cs="Arial"/>
              </w:rPr>
              <w:t>zonal</w:t>
            </w:r>
          </w:p>
          <w:p w14:paraId="5E1F543D" w14:textId="00624DD6" w:rsidR="00B45C3B" w:rsidRPr="001F58F6" w:rsidRDefault="00B45C3B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>$3,5</w:t>
            </w:r>
            <w:r w:rsidR="00F52DE5" w:rsidRPr="001F58F6">
              <w:rPr>
                <w:rFonts w:cs="Arial"/>
              </w:rPr>
              <w:t>0</w:t>
            </w:r>
            <w:r w:rsidRPr="001F58F6">
              <w:rPr>
                <w:rFonts w:cs="Arial"/>
              </w:rPr>
              <w:t xml:space="preserve">0 for </w:t>
            </w:r>
            <w:r w:rsidR="00F52DE5" w:rsidRPr="001F58F6">
              <w:rPr>
                <w:rFonts w:cs="Arial"/>
              </w:rPr>
              <w:t>electric furnace</w:t>
            </w:r>
          </w:p>
          <w:p w14:paraId="699DDAD7" w14:textId="6F99109D" w:rsidR="00767128" w:rsidRPr="001F58F6" w:rsidRDefault="00767128" w:rsidP="00681927">
            <w:pPr>
              <w:rPr>
                <w:rFonts w:cs="Arial"/>
              </w:rPr>
            </w:pPr>
          </w:p>
        </w:tc>
        <w:tc>
          <w:tcPr>
            <w:tcW w:w="4770" w:type="dxa"/>
          </w:tcPr>
          <w:p w14:paraId="67E15A59" w14:textId="247FBAEB" w:rsidR="00B45C3B" w:rsidRPr="001F58F6" w:rsidRDefault="00B45C3B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>1:1 maximum $4,800</w:t>
            </w:r>
          </w:p>
          <w:p w14:paraId="696D3B9B" w14:textId="3063843F" w:rsidR="00703CC2" w:rsidRPr="001F58F6" w:rsidRDefault="00B45C3B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>2:1 maximum $7,200</w:t>
            </w:r>
          </w:p>
          <w:p w14:paraId="0CB86ADA" w14:textId="17BC99BD" w:rsidR="00703CC2" w:rsidRPr="001F58F6" w:rsidRDefault="002F4811" w:rsidP="002F481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001F58F6">
              <w:rPr>
                <w:rFonts w:cs="Arial"/>
              </w:rPr>
              <w:t xml:space="preserve">Cost exceptions may be requested. </w:t>
            </w:r>
          </w:p>
          <w:p w14:paraId="4B53E5EB" w14:textId="6F3AF9B3" w:rsidR="002F4811" w:rsidRPr="001F58F6" w:rsidRDefault="002F4811" w:rsidP="002F4811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cs="Arial"/>
              </w:rPr>
            </w:pPr>
            <w:r w:rsidRPr="001F58F6">
              <w:rPr>
                <w:rFonts w:cs="Arial"/>
              </w:rPr>
              <w:t>CBO funding can cover any remaining costs above the max</w:t>
            </w:r>
            <w:r w:rsidR="000E00F8" w:rsidRPr="001F58F6">
              <w:rPr>
                <w:rFonts w:cs="Arial"/>
              </w:rPr>
              <w:t xml:space="preserve"> w</w:t>
            </w:r>
            <w:r w:rsidR="004011CB" w:rsidRPr="001F58F6">
              <w:rPr>
                <w:rFonts w:cs="Arial"/>
              </w:rPr>
              <w:t>ith</w:t>
            </w:r>
            <w:r w:rsidR="000E00F8" w:rsidRPr="001F58F6">
              <w:rPr>
                <w:rFonts w:cs="Arial"/>
              </w:rPr>
              <w:t>out an exception</w:t>
            </w:r>
            <w:r w:rsidRPr="001F58F6">
              <w:rPr>
                <w:rFonts w:cs="Arial"/>
              </w:rPr>
              <w:t>.</w:t>
            </w:r>
          </w:p>
        </w:tc>
      </w:tr>
      <w:tr w:rsidR="00B45C3B" w:rsidRPr="00744D4B" w14:paraId="4D037635" w14:textId="77777777" w:rsidTr="009E4072">
        <w:trPr>
          <w:trHeight w:val="630"/>
        </w:trPr>
        <w:tc>
          <w:tcPr>
            <w:tcW w:w="2160" w:type="dxa"/>
            <w:shd w:val="clear" w:color="auto" w:fill="006595"/>
            <w:vAlign w:val="center"/>
          </w:tcPr>
          <w:p w14:paraId="0D404BF5" w14:textId="77777777" w:rsidR="00B45C3B" w:rsidRPr="001F58F6" w:rsidRDefault="00B45C3B" w:rsidP="009E4072">
            <w:pPr>
              <w:rPr>
                <w:rFonts w:cs="Arial"/>
                <w:color w:val="FFFFFF" w:themeColor="background1"/>
              </w:rPr>
            </w:pPr>
            <w:r w:rsidRPr="001F58F6">
              <w:rPr>
                <w:rFonts w:cs="Arial"/>
                <w:color w:val="FFFFFF" w:themeColor="background1"/>
              </w:rPr>
              <w:t>Volume Goals/Limits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BC98F1" w14:textId="77A22D5C" w:rsidR="00B45C3B" w:rsidRPr="001F58F6" w:rsidRDefault="00B45C3B" w:rsidP="00681927">
            <w:pPr>
              <w:rPr>
                <w:rFonts w:cs="Arial"/>
              </w:rPr>
            </w:pPr>
            <w:r w:rsidRPr="001F58F6">
              <w:rPr>
                <w:rFonts w:cs="Arial"/>
              </w:rPr>
              <w:t xml:space="preserve">No </w:t>
            </w:r>
            <w:r w:rsidR="006B3117" w:rsidRPr="001F58F6">
              <w:rPr>
                <w:rFonts w:cs="Arial"/>
              </w:rPr>
              <w:t>project volume l</w:t>
            </w:r>
            <w:r w:rsidRPr="001F58F6">
              <w:rPr>
                <w:rFonts w:cs="Arial"/>
              </w:rPr>
              <w:t>imit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14:paraId="3C6671F7" w14:textId="63B3D463" w:rsidR="00D07ECB" w:rsidRPr="001F58F6" w:rsidRDefault="00143BB5" w:rsidP="00681927">
            <w:pPr>
              <w:rPr>
                <w:rFonts w:cs="Arial"/>
                <w:b/>
                <w:bCs/>
              </w:rPr>
            </w:pPr>
            <w:r w:rsidRPr="001F58F6">
              <w:rPr>
                <w:rFonts w:cs="Arial"/>
              </w:rPr>
              <w:t xml:space="preserve">CBOs should </w:t>
            </w:r>
            <w:r w:rsidR="004F1283" w:rsidRPr="001F58F6">
              <w:rPr>
                <w:rFonts w:cs="Arial"/>
              </w:rPr>
              <w:t>agree on a</w:t>
            </w:r>
            <w:r w:rsidR="003A7A6D" w:rsidRPr="001F58F6">
              <w:rPr>
                <w:rFonts w:cs="Arial"/>
              </w:rPr>
              <w:t xml:space="preserve">n </w:t>
            </w:r>
            <w:r w:rsidR="00FE2EBB" w:rsidRPr="001F58F6">
              <w:rPr>
                <w:rFonts w:cs="Arial"/>
              </w:rPr>
              <w:t xml:space="preserve">annual project </w:t>
            </w:r>
            <w:r w:rsidR="003A7A6D" w:rsidRPr="001F58F6">
              <w:rPr>
                <w:rFonts w:cs="Arial"/>
              </w:rPr>
              <w:t>forecast</w:t>
            </w:r>
            <w:r w:rsidR="006A5E6B" w:rsidRPr="001F58F6">
              <w:rPr>
                <w:rFonts w:cs="Arial"/>
              </w:rPr>
              <w:t xml:space="preserve"> </w:t>
            </w:r>
            <w:r w:rsidR="00D07ECB" w:rsidRPr="001F58F6">
              <w:rPr>
                <w:rFonts w:cs="Arial"/>
              </w:rPr>
              <w:t>to support Energy Trust budgeting</w:t>
            </w:r>
            <w:r w:rsidR="00FE2EBB" w:rsidRPr="001F58F6">
              <w:rPr>
                <w:rFonts w:cs="Arial"/>
              </w:rPr>
              <w:t>,</w:t>
            </w:r>
            <w:r w:rsidR="00FE2EBB" w:rsidRPr="001F58F6">
              <w:rPr>
                <w:rFonts w:cs="Arial"/>
                <w:b/>
                <w:bCs/>
              </w:rPr>
              <w:t xml:space="preserve"> especially for small multifamily properties</w:t>
            </w:r>
            <w:r w:rsidR="00D07ECB" w:rsidRPr="001F58F6">
              <w:rPr>
                <w:rFonts w:cs="Arial"/>
                <w:b/>
                <w:bCs/>
              </w:rPr>
              <w:t>.</w:t>
            </w:r>
          </w:p>
          <w:p w14:paraId="2C44231A" w14:textId="66BEAFAD" w:rsidR="00B45C3B" w:rsidRPr="001F58F6" w:rsidRDefault="003A7A6D" w:rsidP="00681927">
            <w:pPr>
              <w:rPr>
                <w:rFonts w:cs="Arial"/>
                <w:b/>
                <w:bCs/>
              </w:rPr>
            </w:pPr>
            <w:r w:rsidRPr="001F58F6">
              <w:rPr>
                <w:rFonts w:cs="Arial"/>
                <w:b/>
                <w:bCs/>
              </w:rPr>
              <w:t xml:space="preserve"> </w:t>
            </w:r>
          </w:p>
        </w:tc>
      </w:tr>
      <w:tr w:rsidR="00B45C3B" w:rsidRPr="00744D4B" w14:paraId="09AD6D9B" w14:textId="77777777" w:rsidTr="009E4072">
        <w:trPr>
          <w:trHeight w:val="1421"/>
        </w:trPr>
        <w:tc>
          <w:tcPr>
            <w:tcW w:w="2160" w:type="dxa"/>
            <w:shd w:val="clear" w:color="auto" w:fill="006595"/>
            <w:vAlign w:val="center"/>
          </w:tcPr>
          <w:p w14:paraId="18DAC053" w14:textId="77777777" w:rsidR="00B45C3B" w:rsidRPr="001F58F6" w:rsidRDefault="00B45C3B" w:rsidP="009E4072">
            <w:pPr>
              <w:rPr>
                <w:rFonts w:cs="Arial"/>
                <w:color w:val="FFFFFF" w:themeColor="background1"/>
              </w:rPr>
            </w:pPr>
            <w:r w:rsidRPr="001F58F6">
              <w:rPr>
                <w:rFonts w:cs="Arial"/>
                <w:color w:val="FFFFFF" w:themeColor="background1"/>
              </w:rPr>
              <w:t xml:space="preserve">Forms Required </w:t>
            </w:r>
          </w:p>
        </w:tc>
        <w:tc>
          <w:tcPr>
            <w:tcW w:w="2970" w:type="dxa"/>
            <w:shd w:val="clear" w:color="auto" w:fill="FFFFFF" w:themeFill="background1"/>
          </w:tcPr>
          <w:p w14:paraId="5AA5CFD4" w14:textId="09EB05BD" w:rsidR="00B45C3B" w:rsidRPr="001F58F6" w:rsidRDefault="00B45C3B" w:rsidP="00511DF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>300 CPF Form</w:t>
            </w:r>
          </w:p>
          <w:p w14:paraId="2622E4F7" w14:textId="2EA6A7F8" w:rsidR="00B45C3B" w:rsidRPr="001F58F6" w:rsidRDefault="29B6D0BC" w:rsidP="00511DF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 xml:space="preserve">320 </w:t>
            </w:r>
            <w:r w:rsidR="00B45C3B" w:rsidRPr="001F58F6">
              <w:rPr>
                <w:rFonts w:cs="Arial"/>
              </w:rPr>
              <w:t>CPF Form</w:t>
            </w:r>
            <w:r w:rsidR="00FE2EBB" w:rsidRPr="001F58F6">
              <w:rPr>
                <w:rFonts w:cs="Arial"/>
              </w:rPr>
              <w:t xml:space="preserve"> (pages 1-3)</w:t>
            </w:r>
          </w:p>
          <w:p w14:paraId="23B68F41" w14:textId="77777777" w:rsidR="00B45C3B" w:rsidRPr="001F58F6" w:rsidRDefault="00B45C3B" w:rsidP="00511DF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 xml:space="preserve">Contractor Invoice </w:t>
            </w:r>
          </w:p>
          <w:p w14:paraId="2DA27AF2" w14:textId="77777777" w:rsidR="00B45C3B" w:rsidRPr="001F58F6" w:rsidRDefault="00B45C3B" w:rsidP="00511DF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>Photo of indoor unit in primary living space</w:t>
            </w:r>
          </w:p>
        </w:tc>
        <w:tc>
          <w:tcPr>
            <w:tcW w:w="4770" w:type="dxa"/>
            <w:shd w:val="clear" w:color="auto" w:fill="FFFFFF" w:themeFill="background1"/>
          </w:tcPr>
          <w:p w14:paraId="10474697" w14:textId="4A86B3CE" w:rsidR="00B45C3B" w:rsidRPr="001F58F6" w:rsidRDefault="00B45C3B" w:rsidP="00511DF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>300 CPF Form</w:t>
            </w:r>
          </w:p>
          <w:p w14:paraId="196BB5E5" w14:textId="1A925CC0" w:rsidR="00B45C3B" w:rsidRPr="001F58F6" w:rsidRDefault="36802006" w:rsidP="00511DF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 xml:space="preserve">320 </w:t>
            </w:r>
            <w:r w:rsidR="00B45C3B" w:rsidRPr="001F58F6">
              <w:rPr>
                <w:rFonts w:cs="Arial"/>
              </w:rPr>
              <w:t>CPF Form</w:t>
            </w:r>
            <w:r w:rsidR="00FE2EBB" w:rsidRPr="001F58F6">
              <w:rPr>
                <w:rFonts w:cs="Arial"/>
              </w:rPr>
              <w:t xml:space="preserve"> (pages 1-3)</w:t>
            </w:r>
          </w:p>
          <w:p w14:paraId="542DDE05" w14:textId="77777777" w:rsidR="00B45C3B" w:rsidRPr="001F58F6" w:rsidRDefault="00B45C3B" w:rsidP="00511DF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 xml:space="preserve">Contractor Invoice </w:t>
            </w:r>
          </w:p>
          <w:p w14:paraId="06EBBCC7" w14:textId="77777777" w:rsidR="00B45C3B" w:rsidRPr="001F58F6" w:rsidRDefault="00B45C3B" w:rsidP="00511DF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rFonts w:cs="Arial"/>
              </w:rPr>
            </w:pPr>
            <w:r w:rsidRPr="001F58F6">
              <w:rPr>
                <w:rFonts w:cs="Arial"/>
              </w:rPr>
              <w:t>Photo of indoor unit in primary living space</w:t>
            </w:r>
          </w:p>
          <w:p w14:paraId="1CB5D4D8" w14:textId="77777777" w:rsidR="00FE2EBB" w:rsidRPr="001F58F6" w:rsidRDefault="00FE2EBB" w:rsidP="00FE2EBB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60"/>
              <w:rPr>
                <w:rFonts w:cs="Arial"/>
                <w:b/>
                <w:bCs/>
                <w:i/>
                <w:iCs/>
              </w:rPr>
            </w:pPr>
            <w:r w:rsidRPr="001F58F6">
              <w:rPr>
                <w:rFonts w:cs="Arial"/>
                <w:b/>
                <w:bCs/>
                <w:i/>
                <w:iCs/>
              </w:rPr>
              <w:t>DHP Questionnaire</w:t>
            </w:r>
          </w:p>
          <w:p w14:paraId="7EAB38C2" w14:textId="31D9ADC2" w:rsidR="00FE2EBB" w:rsidRPr="001F58F6" w:rsidRDefault="00FE2EBB" w:rsidP="00FE2EBB">
            <w:pPr>
              <w:pStyle w:val="ListParagraph"/>
              <w:spacing w:line="240" w:lineRule="auto"/>
              <w:ind w:left="360"/>
              <w:rPr>
                <w:rFonts w:cs="Arial"/>
              </w:rPr>
            </w:pPr>
          </w:p>
        </w:tc>
      </w:tr>
    </w:tbl>
    <w:p w14:paraId="2C078E63" w14:textId="77777777" w:rsidR="00662211" w:rsidRPr="00091052" w:rsidRDefault="00662211" w:rsidP="007000E2">
      <w:pPr>
        <w:rPr>
          <w:rFonts w:ascii="Arial" w:hAnsi="Arial" w:cs="Arial"/>
          <w:sz w:val="20"/>
          <w:szCs w:val="20"/>
        </w:rPr>
      </w:pPr>
    </w:p>
    <w:sectPr w:rsidR="00662211" w:rsidRPr="00091052" w:rsidSect="006C0543">
      <w:headerReference w:type="default" r:id="rId13"/>
      <w:foot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4464" w14:textId="77777777" w:rsidR="00995D1A" w:rsidRDefault="00995D1A" w:rsidP="00BE29CF">
      <w:pPr>
        <w:spacing w:after="0" w:line="240" w:lineRule="auto"/>
      </w:pPr>
      <w:r>
        <w:separator/>
      </w:r>
    </w:p>
  </w:endnote>
  <w:endnote w:type="continuationSeparator" w:id="0">
    <w:p w14:paraId="0026A98A" w14:textId="77777777" w:rsidR="00995D1A" w:rsidRDefault="00995D1A" w:rsidP="00BE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471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A494641" w14:textId="5FCADFBA" w:rsidR="00BE29CF" w:rsidRPr="00BE29CF" w:rsidRDefault="00BE29CF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BE29CF">
          <w:rPr>
            <w:rFonts w:ascii="Arial" w:hAnsi="Arial" w:cs="Arial"/>
            <w:sz w:val="20"/>
            <w:szCs w:val="20"/>
          </w:rPr>
          <w:fldChar w:fldCharType="begin"/>
        </w:r>
        <w:r w:rsidRPr="00BE29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E29CF">
          <w:rPr>
            <w:rFonts w:ascii="Arial" w:hAnsi="Arial" w:cs="Arial"/>
            <w:sz w:val="20"/>
            <w:szCs w:val="20"/>
          </w:rPr>
          <w:fldChar w:fldCharType="separate"/>
        </w:r>
        <w:r w:rsidRPr="00BE29CF">
          <w:rPr>
            <w:rFonts w:ascii="Arial" w:hAnsi="Arial" w:cs="Arial"/>
            <w:noProof/>
            <w:sz w:val="20"/>
            <w:szCs w:val="20"/>
          </w:rPr>
          <w:t>2</w:t>
        </w:r>
        <w:r w:rsidRPr="00BE29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DE4599" w14:textId="77777777" w:rsidR="00BE29CF" w:rsidRDefault="00BE2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0187" w14:textId="77777777" w:rsidR="00995D1A" w:rsidRDefault="00995D1A" w:rsidP="00BE29CF">
      <w:pPr>
        <w:spacing w:after="0" w:line="240" w:lineRule="auto"/>
      </w:pPr>
      <w:r>
        <w:separator/>
      </w:r>
    </w:p>
  </w:footnote>
  <w:footnote w:type="continuationSeparator" w:id="0">
    <w:p w14:paraId="7022BFFD" w14:textId="77777777" w:rsidR="00995D1A" w:rsidRDefault="00995D1A" w:rsidP="00BE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D8B5" w14:textId="7298E4AE" w:rsidR="005360C1" w:rsidRDefault="005360C1" w:rsidP="005360C1">
    <w:pPr>
      <w:pStyle w:val="Header"/>
      <w:jc w:val="right"/>
    </w:pPr>
    <w:r>
      <w:rPr>
        <w:noProof/>
      </w:rPr>
      <w:drawing>
        <wp:inline distT="0" distB="0" distL="0" distR="0" wp14:anchorId="6E89D37B" wp14:editId="388301A8">
          <wp:extent cx="1371600" cy="624840"/>
          <wp:effectExtent l="0" t="0" r="0" b="3810"/>
          <wp:docPr id="887001694" name="Picture 887001694" descr="Text,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01694" name="Picture 1" descr="Text,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FD2"/>
    <w:multiLevelType w:val="hybridMultilevel"/>
    <w:tmpl w:val="93301A2C"/>
    <w:lvl w:ilvl="0" w:tplc="D0DC1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805"/>
    <w:multiLevelType w:val="hybridMultilevel"/>
    <w:tmpl w:val="A8DC8B7C"/>
    <w:lvl w:ilvl="0" w:tplc="3C9A4A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04AA3"/>
    <w:multiLevelType w:val="hybridMultilevel"/>
    <w:tmpl w:val="A33253B8"/>
    <w:lvl w:ilvl="0" w:tplc="90C0B8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E2761"/>
    <w:multiLevelType w:val="hybridMultilevel"/>
    <w:tmpl w:val="0D827F8E"/>
    <w:lvl w:ilvl="0" w:tplc="DDE08F40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07B31"/>
    <w:multiLevelType w:val="hybridMultilevel"/>
    <w:tmpl w:val="09683030"/>
    <w:lvl w:ilvl="0" w:tplc="F064C1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14"/>
    <w:multiLevelType w:val="hybridMultilevel"/>
    <w:tmpl w:val="B38A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38E"/>
    <w:multiLevelType w:val="hybridMultilevel"/>
    <w:tmpl w:val="D3B426C8"/>
    <w:lvl w:ilvl="0" w:tplc="6FC43F6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3A56B3"/>
    <w:multiLevelType w:val="hybridMultilevel"/>
    <w:tmpl w:val="C43A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37EAC"/>
    <w:multiLevelType w:val="hybridMultilevel"/>
    <w:tmpl w:val="FEB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C2A2"/>
    <w:multiLevelType w:val="hybridMultilevel"/>
    <w:tmpl w:val="FFFFFFFF"/>
    <w:lvl w:ilvl="0" w:tplc="31248D08">
      <w:start w:val="1"/>
      <w:numFmt w:val="decimal"/>
      <w:lvlText w:val="%1."/>
      <w:lvlJc w:val="left"/>
      <w:pPr>
        <w:ind w:left="720" w:hanging="360"/>
      </w:pPr>
    </w:lvl>
    <w:lvl w:ilvl="1" w:tplc="098CB08C">
      <w:start w:val="1"/>
      <w:numFmt w:val="lowerLetter"/>
      <w:lvlText w:val="%2."/>
      <w:lvlJc w:val="left"/>
      <w:pPr>
        <w:ind w:left="1440" w:hanging="360"/>
      </w:pPr>
    </w:lvl>
    <w:lvl w:ilvl="2" w:tplc="84FE7D66">
      <w:start w:val="1"/>
      <w:numFmt w:val="lowerRoman"/>
      <w:lvlText w:val="%3."/>
      <w:lvlJc w:val="right"/>
      <w:pPr>
        <w:ind w:left="2160" w:hanging="180"/>
      </w:pPr>
    </w:lvl>
    <w:lvl w:ilvl="3" w:tplc="284C3D08">
      <w:start w:val="1"/>
      <w:numFmt w:val="decimal"/>
      <w:lvlText w:val="%4."/>
      <w:lvlJc w:val="left"/>
      <w:pPr>
        <w:ind w:left="2880" w:hanging="360"/>
      </w:pPr>
    </w:lvl>
    <w:lvl w:ilvl="4" w:tplc="C7D6D3C4">
      <w:start w:val="1"/>
      <w:numFmt w:val="lowerLetter"/>
      <w:lvlText w:val="%5."/>
      <w:lvlJc w:val="left"/>
      <w:pPr>
        <w:ind w:left="3600" w:hanging="360"/>
      </w:pPr>
    </w:lvl>
    <w:lvl w:ilvl="5" w:tplc="82DA6860">
      <w:start w:val="1"/>
      <w:numFmt w:val="lowerRoman"/>
      <w:lvlText w:val="%6."/>
      <w:lvlJc w:val="right"/>
      <w:pPr>
        <w:ind w:left="4320" w:hanging="180"/>
      </w:pPr>
    </w:lvl>
    <w:lvl w:ilvl="6" w:tplc="9BC0B404">
      <w:start w:val="1"/>
      <w:numFmt w:val="decimal"/>
      <w:lvlText w:val="%7."/>
      <w:lvlJc w:val="left"/>
      <w:pPr>
        <w:ind w:left="5040" w:hanging="360"/>
      </w:pPr>
    </w:lvl>
    <w:lvl w:ilvl="7" w:tplc="7D2690E8">
      <w:start w:val="1"/>
      <w:numFmt w:val="lowerLetter"/>
      <w:lvlText w:val="%8."/>
      <w:lvlJc w:val="left"/>
      <w:pPr>
        <w:ind w:left="5760" w:hanging="360"/>
      </w:pPr>
    </w:lvl>
    <w:lvl w:ilvl="8" w:tplc="B77C971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31CB8"/>
    <w:multiLevelType w:val="hybridMultilevel"/>
    <w:tmpl w:val="096830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FD0EE"/>
    <w:multiLevelType w:val="hybridMultilevel"/>
    <w:tmpl w:val="FFFFFFFF"/>
    <w:lvl w:ilvl="0" w:tplc="8F400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3E00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F0D3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5E6F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64BF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CC36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1413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184C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72C7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472907">
    <w:abstractNumId w:val="1"/>
  </w:num>
  <w:num w:numId="2" w16cid:durableId="1637174890">
    <w:abstractNumId w:val="8"/>
  </w:num>
  <w:num w:numId="3" w16cid:durableId="2130859018">
    <w:abstractNumId w:val="7"/>
  </w:num>
  <w:num w:numId="4" w16cid:durableId="1203832291">
    <w:abstractNumId w:val="4"/>
  </w:num>
  <w:num w:numId="5" w16cid:durableId="172037270">
    <w:abstractNumId w:val="10"/>
  </w:num>
  <w:num w:numId="6" w16cid:durableId="71321432">
    <w:abstractNumId w:val="0"/>
  </w:num>
  <w:num w:numId="7" w16cid:durableId="1223755954">
    <w:abstractNumId w:val="11"/>
  </w:num>
  <w:num w:numId="8" w16cid:durableId="1064527481">
    <w:abstractNumId w:val="9"/>
  </w:num>
  <w:num w:numId="9" w16cid:durableId="2091808698">
    <w:abstractNumId w:val="5"/>
  </w:num>
  <w:num w:numId="10" w16cid:durableId="93286072">
    <w:abstractNumId w:val="2"/>
  </w:num>
  <w:num w:numId="11" w16cid:durableId="1256480765">
    <w:abstractNumId w:val="6"/>
  </w:num>
  <w:num w:numId="12" w16cid:durableId="182978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MjKwNDMyNzKyMLNU0lEKTi0uzszPAykwrAUAbHVxuCwAAAA="/>
  </w:docVars>
  <w:rsids>
    <w:rsidRoot w:val="2DDF020E"/>
    <w:rsid w:val="00007578"/>
    <w:rsid w:val="00026195"/>
    <w:rsid w:val="00030898"/>
    <w:rsid w:val="00044B21"/>
    <w:rsid w:val="000665DD"/>
    <w:rsid w:val="00080CBD"/>
    <w:rsid w:val="00083A16"/>
    <w:rsid w:val="00091052"/>
    <w:rsid w:val="000A792D"/>
    <w:rsid w:val="000B1DA8"/>
    <w:rsid w:val="000B2D8A"/>
    <w:rsid w:val="000B33AD"/>
    <w:rsid w:val="000C2260"/>
    <w:rsid w:val="000D224E"/>
    <w:rsid w:val="000D277E"/>
    <w:rsid w:val="000E00F8"/>
    <w:rsid w:val="000E7BA1"/>
    <w:rsid w:val="000F167B"/>
    <w:rsid w:val="000F3340"/>
    <w:rsid w:val="00143BB5"/>
    <w:rsid w:val="0015043A"/>
    <w:rsid w:val="00180D07"/>
    <w:rsid w:val="001F1121"/>
    <w:rsid w:val="001F58F6"/>
    <w:rsid w:val="00204624"/>
    <w:rsid w:val="002206C4"/>
    <w:rsid w:val="00224438"/>
    <w:rsid w:val="00232F08"/>
    <w:rsid w:val="002335E8"/>
    <w:rsid w:val="002814B7"/>
    <w:rsid w:val="002A69C2"/>
    <w:rsid w:val="002D2E97"/>
    <w:rsid w:val="002F4811"/>
    <w:rsid w:val="002F4848"/>
    <w:rsid w:val="00340437"/>
    <w:rsid w:val="00361055"/>
    <w:rsid w:val="003A7A6D"/>
    <w:rsid w:val="003B782D"/>
    <w:rsid w:val="004011CB"/>
    <w:rsid w:val="004012F4"/>
    <w:rsid w:val="004319A4"/>
    <w:rsid w:val="00451BD7"/>
    <w:rsid w:val="00454619"/>
    <w:rsid w:val="0049107E"/>
    <w:rsid w:val="004A2222"/>
    <w:rsid w:val="004A41DC"/>
    <w:rsid w:val="004B6A6B"/>
    <w:rsid w:val="004B7806"/>
    <w:rsid w:val="004E62B3"/>
    <w:rsid w:val="004F1283"/>
    <w:rsid w:val="004F36CE"/>
    <w:rsid w:val="00505DF9"/>
    <w:rsid w:val="00511DF7"/>
    <w:rsid w:val="005360C1"/>
    <w:rsid w:val="00543C32"/>
    <w:rsid w:val="0056323D"/>
    <w:rsid w:val="00592D66"/>
    <w:rsid w:val="00592EBD"/>
    <w:rsid w:val="005C6DF4"/>
    <w:rsid w:val="005D7A9E"/>
    <w:rsid w:val="005E7D60"/>
    <w:rsid w:val="005F61A0"/>
    <w:rsid w:val="00600BB5"/>
    <w:rsid w:val="006023F6"/>
    <w:rsid w:val="00652089"/>
    <w:rsid w:val="00660B02"/>
    <w:rsid w:val="00660B44"/>
    <w:rsid w:val="00662211"/>
    <w:rsid w:val="0068110B"/>
    <w:rsid w:val="00681927"/>
    <w:rsid w:val="00693592"/>
    <w:rsid w:val="00694C76"/>
    <w:rsid w:val="00696F57"/>
    <w:rsid w:val="006A5E6B"/>
    <w:rsid w:val="006B3117"/>
    <w:rsid w:val="006C0543"/>
    <w:rsid w:val="006E5885"/>
    <w:rsid w:val="007000E2"/>
    <w:rsid w:val="00703CC2"/>
    <w:rsid w:val="007062B2"/>
    <w:rsid w:val="0074589E"/>
    <w:rsid w:val="007473F6"/>
    <w:rsid w:val="00767128"/>
    <w:rsid w:val="0078619C"/>
    <w:rsid w:val="007A3921"/>
    <w:rsid w:val="007A6858"/>
    <w:rsid w:val="007E791F"/>
    <w:rsid w:val="007F0336"/>
    <w:rsid w:val="007F0990"/>
    <w:rsid w:val="007F7B95"/>
    <w:rsid w:val="00801747"/>
    <w:rsid w:val="00827E53"/>
    <w:rsid w:val="008354BE"/>
    <w:rsid w:val="00847F02"/>
    <w:rsid w:val="0085125C"/>
    <w:rsid w:val="00875747"/>
    <w:rsid w:val="00892B87"/>
    <w:rsid w:val="008E7536"/>
    <w:rsid w:val="00903596"/>
    <w:rsid w:val="00914D05"/>
    <w:rsid w:val="00915836"/>
    <w:rsid w:val="00932307"/>
    <w:rsid w:val="00970D6B"/>
    <w:rsid w:val="0097150C"/>
    <w:rsid w:val="009748AC"/>
    <w:rsid w:val="00995D1A"/>
    <w:rsid w:val="009A61EE"/>
    <w:rsid w:val="009D0E01"/>
    <w:rsid w:val="009E4072"/>
    <w:rsid w:val="00A04FFC"/>
    <w:rsid w:val="00A25E18"/>
    <w:rsid w:val="00A262AA"/>
    <w:rsid w:val="00A30A72"/>
    <w:rsid w:val="00A52AAD"/>
    <w:rsid w:val="00A55F6B"/>
    <w:rsid w:val="00A65B98"/>
    <w:rsid w:val="00A77939"/>
    <w:rsid w:val="00AA2ED5"/>
    <w:rsid w:val="00AB4CBE"/>
    <w:rsid w:val="00B2682C"/>
    <w:rsid w:val="00B45C3B"/>
    <w:rsid w:val="00B46EEC"/>
    <w:rsid w:val="00B65CB6"/>
    <w:rsid w:val="00BB5913"/>
    <w:rsid w:val="00BB5CB7"/>
    <w:rsid w:val="00BD160B"/>
    <w:rsid w:val="00BE1DCC"/>
    <w:rsid w:val="00BE29CF"/>
    <w:rsid w:val="00C00360"/>
    <w:rsid w:val="00C072B6"/>
    <w:rsid w:val="00C1237C"/>
    <w:rsid w:val="00C145C2"/>
    <w:rsid w:val="00C4063A"/>
    <w:rsid w:val="00C52716"/>
    <w:rsid w:val="00C57A69"/>
    <w:rsid w:val="00D0248D"/>
    <w:rsid w:val="00D07ECB"/>
    <w:rsid w:val="00D34C00"/>
    <w:rsid w:val="00D3700D"/>
    <w:rsid w:val="00D4585B"/>
    <w:rsid w:val="00D51FFF"/>
    <w:rsid w:val="00D570DA"/>
    <w:rsid w:val="00DA0E55"/>
    <w:rsid w:val="00DA4E86"/>
    <w:rsid w:val="00DB642C"/>
    <w:rsid w:val="00DD16C7"/>
    <w:rsid w:val="00DE4344"/>
    <w:rsid w:val="00E15A29"/>
    <w:rsid w:val="00E41B98"/>
    <w:rsid w:val="00E52037"/>
    <w:rsid w:val="00E71FB6"/>
    <w:rsid w:val="00E94C9C"/>
    <w:rsid w:val="00E9692B"/>
    <w:rsid w:val="00EA7806"/>
    <w:rsid w:val="00EC0EE6"/>
    <w:rsid w:val="00ED6C4B"/>
    <w:rsid w:val="00F00E10"/>
    <w:rsid w:val="00F263E3"/>
    <w:rsid w:val="00F37837"/>
    <w:rsid w:val="00F37E74"/>
    <w:rsid w:val="00F52DE5"/>
    <w:rsid w:val="00F53CA7"/>
    <w:rsid w:val="00F60BF7"/>
    <w:rsid w:val="00F62BD7"/>
    <w:rsid w:val="00F66273"/>
    <w:rsid w:val="00FA416E"/>
    <w:rsid w:val="00FA5D3E"/>
    <w:rsid w:val="00FC3A20"/>
    <w:rsid w:val="00FE2EBB"/>
    <w:rsid w:val="00FF5ED9"/>
    <w:rsid w:val="02A95170"/>
    <w:rsid w:val="03A5ECE0"/>
    <w:rsid w:val="0704C9A8"/>
    <w:rsid w:val="07073D6B"/>
    <w:rsid w:val="0C3A552B"/>
    <w:rsid w:val="0CF29235"/>
    <w:rsid w:val="0E4FC483"/>
    <w:rsid w:val="0EF2D50D"/>
    <w:rsid w:val="12F7C365"/>
    <w:rsid w:val="1420FD01"/>
    <w:rsid w:val="15AA542B"/>
    <w:rsid w:val="1FE937F8"/>
    <w:rsid w:val="2044F964"/>
    <w:rsid w:val="230FCFB9"/>
    <w:rsid w:val="235E654C"/>
    <w:rsid w:val="24D9CC8C"/>
    <w:rsid w:val="26E6F9E6"/>
    <w:rsid w:val="29281755"/>
    <w:rsid w:val="298E53D6"/>
    <w:rsid w:val="29A5B5CB"/>
    <w:rsid w:val="29B6D0BC"/>
    <w:rsid w:val="2D9B385D"/>
    <w:rsid w:val="2DDF020E"/>
    <w:rsid w:val="2E8C6A66"/>
    <w:rsid w:val="2F75093D"/>
    <w:rsid w:val="31DA5FBB"/>
    <w:rsid w:val="365C9826"/>
    <w:rsid w:val="36802006"/>
    <w:rsid w:val="3A90B2AF"/>
    <w:rsid w:val="3E589A43"/>
    <w:rsid w:val="3ED90704"/>
    <w:rsid w:val="3FDBD9BF"/>
    <w:rsid w:val="413D633E"/>
    <w:rsid w:val="497443B5"/>
    <w:rsid w:val="4A390FED"/>
    <w:rsid w:val="4C665610"/>
    <w:rsid w:val="4FD3E97E"/>
    <w:rsid w:val="53D86A4F"/>
    <w:rsid w:val="53F6BCB0"/>
    <w:rsid w:val="54229424"/>
    <w:rsid w:val="5625EA41"/>
    <w:rsid w:val="59AEAE2D"/>
    <w:rsid w:val="5CB13211"/>
    <w:rsid w:val="5F6F894F"/>
    <w:rsid w:val="617C83D8"/>
    <w:rsid w:val="632DEFC6"/>
    <w:rsid w:val="665F3794"/>
    <w:rsid w:val="6AA7A885"/>
    <w:rsid w:val="6C44BE0B"/>
    <w:rsid w:val="6D57CF7E"/>
    <w:rsid w:val="6D8B25F4"/>
    <w:rsid w:val="7028EB83"/>
    <w:rsid w:val="7093B216"/>
    <w:rsid w:val="740909C5"/>
    <w:rsid w:val="76FCEB5C"/>
    <w:rsid w:val="788A436D"/>
    <w:rsid w:val="79855B73"/>
    <w:rsid w:val="7BA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F020E"/>
  <w15:chartTrackingRefBased/>
  <w15:docId w15:val="{781DFA93-36B0-4B5D-971A-9CA1B2FF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6B"/>
  </w:style>
  <w:style w:type="paragraph" w:styleId="Heading1">
    <w:name w:val="heading 1"/>
    <w:basedOn w:val="Normal"/>
    <w:next w:val="Normal"/>
    <w:link w:val="Heading1Char"/>
    <w:uiPriority w:val="9"/>
    <w:qFormat/>
    <w:rsid w:val="000F3340"/>
    <w:pPr>
      <w:keepNext/>
      <w:keepLines/>
      <w:spacing w:before="240" w:after="0" w:line="256" w:lineRule="auto"/>
      <w:outlineLvl w:val="0"/>
    </w:pPr>
    <w:rPr>
      <w:rFonts w:ascii="Arial" w:eastAsiaTheme="majorEastAsia" w:hAnsi="Arial" w:cstheme="majorBidi"/>
      <w:b/>
      <w:color w:val="4472C4" w:themeColor="accent1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340"/>
    <w:rPr>
      <w:rFonts w:ascii="Arial" w:eastAsiaTheme="majorEastAsia" w:hAnsi="Arial" w:cstheme="majorBidi"/>
      <w:b/>
      <w:color w:val="4472C4" w:themeColor="accent1"/>
      <w:sz w:val="30"/>
      <w:szCs w:val="32"/>
    </w:rPr>
  </w:style>
  <w:style w:type="paragraph" w:customStyle="1" w:styleId="paragraph">
    <w:name w:val="paragraph"/>
    <w:basedOn w:val="Normal"/>
    <w:rsid w:val="000F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F3340"/>
  </w:style>
  <w:style w:type="character" w:customStyle="1" w:styleId="eop">
    <w:name w:val="eop"/>
    <w:basedOn w:val="DefaultParagraphFont"/>
    <w:rsid w:val="000F3340"/>
  </w:style>
  <w:style w:type="paragraph" w:styleId="ListParagraph">
    <w:name w:val="List Paragraph"/>
    <w:basedOn w:val="Normal"/>
    <w:uiPriority w:val="34"/>
    <w:qFormat/>
    <w:rsid w:val="000F3340"/>
    <w:pPr>
      <w:spacing w:line="256" w:lineRule="auto"/>
      <w:ind w:left="720"/>
      <w:contextualSpacing/>
    </w:pPr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0F3340"/>
    <w:pPr>
      <w:spacing w:after="200" w:line="240" w:lineRule="auto"/>
    </w:pPr>
    <w:rPr>
      <w:rFonts w:ascii="Arial" w:hAnsi="Arial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0F334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3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3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7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5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CF"/>
  </w:style>
  <w:style w:type="paragraph" w:styleId="Footer">
    <w:name w:val="footer"/>
    <w:basedOn w:val="Normal"/>
    <w:link w:val="FooterChar"/>
    <w:uiPriority w:val="99"/>
    <w:unhideWhenUsed/>
    <w:rsid w:val="00BE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e.stjameslopez@clearesul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partners@energytrust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munitypartners@energy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B629E21F98742A65086E79B25A04F" ma:contentTypeVersion="8" ma:contentTypeDescription="Create a new document." ma:contentTypeScope="" ma:versionID="edd2e47a7618ed448f51be87b114c207">
  <xsd:schema xmlns:xsd="http://www.w3.org/2001/XMLSchema" xmlns:xs="http://www.w3.org/2001/XMLSchema" xmlns:p="http://schemas.microsoft.com/office/2006/metadata/properties" xmlns:ns2="4a8ef21f-7eb2-4e75-b648-3b6e98ef5a12" xmlns:ns3="3736f80a-61c5-4e33-8f70-9d684d6a4929" targetNamespace="http://schemas.microsoft.com/office/2006/metadata/properties" ma:root="true" ma:fieldsID="add16434d0091b32628f168b683a2366" ns2:_="" ns3:_="">
    <xsd:import namespace="4a8ef21f-7eb2-4e75-b648-3b6e98ef5a12"/>
    <xsd:import namespace="3736f80a-61c5-4e33-8f70-9d684d6a4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f21f-7eb2-4e75-b648-3b6e98ef5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f80a-61c5-4e33-8f70-9d684d6a4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51C00-43CE-4CA4-9365-7C93C23BB1CC}"/>
</file>

<file path=customXml/itemProps2.xml><?xml version="1.0" encoding="utf-8"?>
<ds:datastoreItem xmlns:ds="http://schemas.openxmlformats.org/officeDocument/2006/customXml" ds:itemID="{8F2B20C2-9EC6-40B9-83A2-4A850C10D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89F87-6896-480D-AD76-F1B0D15348E3}">
  <ds:schemaRefs>
    <ds:schemaRef ds:uri="http://schemas.microsoft.com/office/2006/metadata/properties"/>
    <ds:schemaRef ds:uri="http://schemas.microsoft.com/office/infopath/2007/PartnerControls"/>
    <ds:schemaRef ds:uri="0ce1fff5-c6eb-444b-afee-3703b36fb49f"/>
    <ds:schemaRef ds:uri="dc075490-6b46-41f9-b384-b9e5a8d2b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8407</TotalTime>
  <Pages>2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Links>
    <vt:vector size="18" baseType="variant">
      <vt:variant>
        <vt:i4>4653111</vt:i4>
      </vt:variant>
      <vt:variant>
        <vt:i4>6</vt:i4>
      </vt:variant>
      <vt:variant>
        <vt:i4>0</vt:i4>
      </vt:variant>
      <vt:variant>
        <vt:i4>5</vt:i4>
      </vt:variant>
      <vt:variant>
        <vt:lpwstr>mailto:joe.stjameslopez@clearesult.com</vt:lpwstr>
      </vt:variant>
      <vt:variant>
        <vt:lpwstr/>
      </vt:variant>
      <vt:variant>
        <vt:i4>1048628</vt:i4>
      </vt:variant>
      <vt:variant>
        <vt:i4>3</vt:i4>
      </vt:variant>
      <vt:variant>
        <vt:i4>0</vt:i4>
      </vt:variant>
      <vt:variant>
        <vt:i4>5</vt:i4>
      </vt:variant>
      <vt:variant>
        <vt:lpwstr>mailto:communitypartners@energytrust.org</vt:lpwstr>
      </vt:variant>
      <vt:variant>
        <vt:lpwstr/>
      </vt:variant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mailto:communitypartners@energytrust.org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Murphy</dc:creator>
  <cp:keywords/>
  <dc:description/>
  <cp:lastModifiedBy>Joe St James Lopez</cp:lastModifiedBy>
  <cp:revision>86</cp:revision>
  <dcterms:created xsi:type="dcterms:W3CDTF">2022-06-14T06:47:00Z</dcterms:created>
  <dcterms:modified xsi:type="dcterms:W3CDTF">2023-05-15T16:03:00Z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0x0101000E2B629E21F98742A65086E79B25A04F</vt:lpwstr>
  </property>
  <property fmtid="{D5CDD505-2E9C-101B-9397-08002B2CF9AE}" pid="3" name="MediaServiceImageTags">
    <vt:lpwstr/>
  </property>
</Properties>
</file>